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30h. Powtórzenie i przyswojenie treści wykładowych 20h. Przygotowanie do kolokwiów 20h.
Razem: 70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biomateriałów metalicznych, ceramicznych i kompozytowych stosowanych w medycynie. Poznanie nowoczesnych metod inżynierii powierzchni kształtujących właściwości biomateriałów. Zrozumienie zasad doboru i projektowania biomateriałów w aspekcie określonych zastosowań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BIOMAW1: </w:t>
      </w:r>
    </w:p>
    <w:p>
      <w:pPr/>
      <w:r>
        <w:rPr/>
        <w:t xml:space="preserve">Zna i rozumie wymagania stawiane biomateriałom , a w szczególności implantom, instrumentarium medycznemu i urządzeniom medycznym wytwarzanym z materiałów metalicznych, polimerowych, ceramicznych i kompozotowych.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BIOMAW2: </w:t>
      </w:r>
    </w:p>
    <w:p>
      <w:pPr/>
      <w:r>
        <w:rPr/>
        <w:t xml:space="preserve">Umie ocenić i zna metody kształtowania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BIOMAU1: </w:t>
      </w:r>
    </w:p>
    <w:p>
      <w:pPr/>
      <w:r>
        <w:rPr/>
        <w:t xml:space="preserve">Potrafi pozyskiwać informacje, interpretować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BIOMAU2: </w:t>
      </w:r>
    </w:p>
    <w:p>
      <w:pPr/>
      <w:r>
        <w:rPr/>
        <w:t xml:space="preserve">Potrafi wskazać odpowiedni biomateriał do zastosowań na implanty kostne, kardiologiczne, instrumentarium i urządzenia medyczne oraz zna wymagane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BIOMAK1: </w:t>
      </w:r>
    </w:p>
    <w:p>
      <w:pPr/>
      <w:r>
        <w:rPr/>
        <w:t xml:space="preserve">Rozumie potrzebę pogłębiania wiedzy z zakresu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p>
      <w:pPr>
        <w:keepNext w:val="1"/>
        <w:spacing w:after="10"/>
      </w:pPr>
      <w:r>
        <w:rPr>
          <w:b/>
          <w:bCs/>
        </w:rPr>
        <w:t xml:space="preserve">Efekt BIOMAK2: </w:t>
      </w:r>
    </w:p>
    <w:p>
      <w:pPr/>
      <w:r>
        <w:rPr/>
        <w:t xml:space="preserve">Ma świadomość ważności i rozumie pozatechniczne aspekty i skutki działalności inżynieryjnej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2026-07-08T02:13:11+02:00</dcterms:created>
  <dcterms:modified xsi:type="dcterms:W3CDTF">2026-07-08T02:13:11+02:00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