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Biomateriały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Wierzchoń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BIOMA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30h. Powtórzenie i przyswojenie treści wykładowych 20h. Przygotowanie do kolokwiów 20h.
Razem: 70 (3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Wykład: 30h (1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Materiałoznawstwo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charakterystyką biomateriałów metalicznych, ceramicznych i kompozytowych stosowanych w medycynie. Poznanie nowoczesnych metod inżynierii powierzchni kształtujących właściwości biomateriałów. Zrozumienie zasad doboru i projektowania biomateriałów w aspekcie określonych zastosowań w medycynie.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Definicja biomateriałów. Charakterystyka materiałów stosowanych w medycynie: metalicznych, ceramicznych, polimerowych, kompozytowych. Sterylizacja biomateriałów. Badania in vitro i in vivo. Nowoczesne metody inżynierii powierzchni stosowane w wytwarzaniu biomateriałów o kontrolowanej biozgodności i aktywności biologicznej. Inżynieria biomimetyczna. Przykłady stosowanych implantów, instrumentarium medycznego i sensorów oraz ich charakterystyka. Zasady projektowania i doboru biomateriałów w aspekcie określonych zastosowań.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sprawdziany w trakcie semestru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Marciniak, Biomateriały, Wyd. Politechniki Śląskiej, Gliwice 2002;
A. Ślósarczyk, Bioceramika hydroksyapatytowa, Polskie Towarzystwo Ceramiczne, Kraków 1997;
D.M. Brunette, P. Tengvall i WSP., Titanium in Medicine, Springer-Verlag, Berling, Heidelberg, New York 2011;
E. Ellingsen, S.P Lyngstadaas, Bio-implant Interface, Improving Biomaterials and Tisssue Reactions, CRC Press LLC, Boca Raton, London - New York 2003;
Biomateriały tom IV, Biocybernetyka i inżynieria biomedyczna 2000, pod redakcją M. Nałęcza, Akademicka Oficyna Wydawnicza, EXIT, 2003;
T. Wierzchoń, E. Czarnowska, D. Krupa, Inżynieria Powierzchni w wytwarzaniu biomateriałów tytanowych, Oficyna Wydawnicza Politechniki Warszawskiej, Warszawa 2004;
J. Breme, J. Kirkpatrick, R. Thull, Metallic Biomaterial Interfaces, Villey-Vch, Verlag GmbH, 2008;
J. F. Shackelford, Biomaterials - application of ceramics and glass materials in medicine, Trauss, Tech. Publ. Inc. USA 1998;
M. Gierzyńska-Dolna, Biotribologia, Wyd. Politechniki Częstochowskiej, 2002;
M.J. Jackson, Waqar Ahmed, Surface Engineered Surgical Tools and Medical Devices, Springer Science LLC, New York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BIOMAW1: </w:t>
      </w:r>
    </w:p>
    <w:p>
      <w:pPr/>
      <w:r>
        <w:rPr/>
        <w:t xml:space="preserve">Zna i rozumie wymagania stawiane biomateriałom , a w szczególności implantom, instrumentarium medycznemu i urządzeniom medycznym wytwarzanym z materiałów metalicznych, polimerowych, ceramicznych i kompozotowych.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K_W17,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T1A_W05</w:t>
      </w:r>
    </w:p>
    <w:p>
      <w:pPr>
        <w:keepNext w:val="1"/>
        <w:spacing w:after="10"/>
      </w:pPr>
      <w:r>
        <w:rPr>
          <w:b/>
          <w:bCs/>
        </w:rPr>
        <w:t xml:space="preserve">Efekt BIOMAW2: </w:t>
      </w:r>
    </w:p>
    <w:p>
      <w:pPr/>
      <w:r>
        <w:rPr/>
        <w:t xml:space="preserve">Umie ocenić i zna metody kształtowania biomateriałów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K_W17, 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BIOMAU1: </w:t>
      </w:r>
    </w:p>
    <w:p>
      <w:pPr/>
      <w:r>
        <w:rPr/>
        <w:t xml:space="preserve">Potrafi pozyskiwać informacje, interpretować wyniki badań, w tym biologicznych w korelacji z rodzajem i właściwościami stosowanych biomateriałów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T1A_U09, T1A_U13, T1A_U15</w:t>
      </w:r>
    </w:p>
    <w:p>
      <w:pPr>
        <w:keepNext w:val="1"/>
        <w:spacing w:after="10"/>
      </w:pPr>
      <w:r>
        <w:rPr>
          <w:b/>
          <w:bCs/>
        </w:rPr>
        <w:t xml:space="preserve">Efekt BIOMAU2: </w:t>
      </w:r>
    </w:p>
    <w:p>
      <w:pPr/>
      <w:r>
        <w:rPr/>
        <w:t xml:space="preserve">Potrafi wskazać odpowiedni biomateriał do zastosowań na implanty kostne, kardiologiczne, instrumentarium i urządzenia medyczne oraz zna wymagane właściwości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2 kolokwia w trakcie semestru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T1A_U09, T1A_U13,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BIOMAK1: </w:t>
      </w:r>
    </w:p>
    <w:p>
      <w:pPr/>
      <w:r>
        <w:rPr/>
        <w:t xml:space="preserve">Rozumie potrzebę pogłębiania wiedzy z zakresu biomateriałów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T1A_K04, T1A_K05, T1A_K04, T1A_K05</w:t>
      </w:r>
    </w:p>
    <w:p>
      <w:pPr>
        <w:keepNext w:val="1"/>
        <w:spacing w:after="10"/>
      </w:pPr>
      <w:r>
        <w:rPr>
          <w:b/>
          <w:bCs/>
        </w:rPr>
        <w:t xml:space="preserve">Efekt BIOMAK2: </w:t>
      </w:r>
    </w:p>
    <w:p>
      <w:pPr/>
      <w:r>
        <w:rPr/>
        <w:t xml:space="preserve">Ma świadomość ważności i rozumie pozatechniczne aspekty i skutki działalności inżynieryjnej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T1A_K04, T1A_K05,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2025-05-03T06:27:33+02:00</dcterms:created>
  <dcterms:modified xsi:type="dcterms:W3CDTF">2025-05-03T06:27:33+02:00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