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chemii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Maciej Dranka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 realizowany na semestrze I - wymagana znajomość chemii, fizyki i matematyki na poziomie szkoły średniej.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wykładu jest zapoznanie studentów ze strukturą i przemianami materii na poziomie mikro- i makroskopowym ze szczególnym uwzględnieniem teorii wiązań chemicznych.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
1. Budowa materii.
2. Układ okresowy pierwiastków.
3. Rodzaje wiązań i typy związków chemicznych.
4. Budowa układów makroskopowych.
5. Równowagi chemiczne i równowagi fazowe. 
6. Reakcje chemiczne.
7. Wodór i jego związki. 
8. Związki tlenowe.
9. Chemia węgla.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A. Bielański, Podstawy chemii nieorganicznej, PWN, Warszawa 1987, 2002.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PCH_W01: </w:t>
      </w:r>
    </w:p>
    <w:p>
      <w:pPr/>
      <w:r>
        <w:rPr/>
        <w:t xml:space="preserve">Ma podstawową wiedzę z chemii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PCH_U01: </w:t>
      </w:r>
    </w:p>
    <w:p>
      <w:pPr/>
      <w:r>
        <w:rPr/>
        <w:t xml:space="preserve">umie rozwiązać zadania z zakresu podstaw chemii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2026-07-29T04:44:57+02:00</dcterms:created>
  <dcterms:modified xsi:type="dcterms:W3CDTF">2026-07-29T04:44:57+02:00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