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/Roman Marcinkowski/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30h;
Przygotowanie się do zajęć 30h;
Zapoznanie się ze wskazaną literaturą 50h;
Przygotowanie prezentacji pracy seminaryjnej 15h;
Razem 125h = 5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Zaliczone przedmioty zawodowe trzeciego roku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C1. Omówienie zakresu tematyki oraz formy prac seminaryjnych. 
C2. Zasady przygotowania opracowań studialnych, referatów i artykułów do publikacji z poszanowaniem praw autorskich. 
C3. Metodyka wykonywania prac dyplomowych. Forma pracy dyplomowej.  
C4. Przedstawienie wybranych nowości z zakresu specjalności. 
C5. Referowanie prac seminaryjnych przez studentów wraz z dyskusją. 
C6. Przedstawienie stanu realizacji prac dyplomowych uczestników seminarium oraz dyskusja ogólna.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opracowany na podstawie programu nauczania zmodyfikowanego w ramach Zadania 38 Programu Rozwojowego Politechniki Warszawskiej.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W10_01: </w:t>
      </w:r>
    </w:p>
    <w:p>
      <w:pPr/>
      <w:r>
        <w:rPr/>
        <w:t xml:space="preserve">							Ma wiedzę dotyczącą własności  intelektualnej i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opracować i przedstawić zebrane informacje dotyczące rozwiązania technologicznego, konstrukcyjnego, organizacyjnego lub badawczego stosowanego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2026-09-08T21:50:48+02:00</dcterms:created>
  <dcterms:modified xsi:type="dcterms:W3CDTF">2026-09-08T21:50:48+02:00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