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keepNext w:val="1"/>
        <w:spacing w:after="10"/>
      </w:pPr>
      <w:r>
        <w:rPr>
          <w:b/>
          <w:bCs/>
        </w:rPr>
        <w:t xml:space="preserve">Nazwa przedmiotu: </w:t>
      </w:r>
    </w:p>
    <w:p>
      <w:pPr>
        <w:spacing w:before="20" w:after="190"/>
      </w:pPr>
      <w:r>
        <w:rPr/>
        <w:t xml:space="preserve">Ochrona własności intelektualnej</w:t>
      </w:r>
    </w:p>
    <w:p>
      <w:pPr>
        <w:keepNext w:val="1"/>
        <w:spacing w:after="10"/>
      </w:pPr>
      <w:r>
        <w:rPr>
          <w:b/>
          <w:bCs/>
        </w:rPr>
        <w:t xml:space="preserve">Koordynator przedmiotu: </w:t>
      </w:r>
    </w:p>
    <w:p>
      <w:pPr>
        <w:spacing w:before="20" w:after="190"/>
      </w:pPr>
      <w:r>
        <w:rPr/>
        <w:t xml:space="preserve">dr hab. inż. / Renata Walczak / adiunkt</w:t>
      </w:r>
    </w:p>
    <w:p>
      <w:pPr>
        <w:keepNext w:val="1"/>
        <w:spacing w:after="10"/>
      </w:pPr>
      <w:r>
        <w:rPr>
          <w:b/>
          <w:bCs/>
        </w:rPr>
        <w:t xml:space="preserve">Status przedmiotu: </w:t>
      </w:r>
    </w:p>
    <w:p>
      <w:pPr>
        <w:spacing w:before="20" w:after="190"/>
      </w:pPr>
      <w:r>
        <w:rPr/>
        <w:t xml:space="preserve">Obowiązkowy</w:t>
      </w:r>
    </w:p>
    <w:p>
      <w:pPr>
        <w:keepNext w:val="1"/>
        <w:spacing w:after="10"/>
      </w:pPr>
      <w:r>
        <w:rPr>
          <w:b/>
          <w:bCs/>
        </w:rPr>
        <w:t xml:space="preserve">Poziom kształcenia: </w:t>
      </w:r>
    </w:p>
    <w:p>
      <w:pPr>
        <w:spacing w:before="20" w:after="190"/>
      </w:pPr>
      <w:r>
        <w:rPr/>
        <w:t xml:space="preserve">Studia I stopnia</w:t>
      </w:r>
    </w:p>
    <w:p>
      <w:pPr>
        <w:keepNext w:val="1"/>
        <w:spacing w:after="10"/>
      </w:pPr>
      <w:r>
        <w:rPr>
          <w:b/>
          <w:bCs/>
        </w:rPr>
        <w:t xml:space="preserve">Program: </w:t>
      </w:r>
    </w:p>
    <w:p>
      <w:pPr>
        <w:spacing w:before="20" w:after="190"/>
      </w:pPr>
      <w:r>
        <w:rPr/>
        <w:t xml:space="preserve">Mechanika i Budowa Maszyn</w:t>
      </w:r>
    </w:p>
    <w:p>
      <w:pPr>
        <w:keepNext w:val="1"/>
        <w:spacing w:after="10"/>
      </w:pPr>
      <w:r>
        <w:rPr>
          <w:b/>
          <w:bCs/>
        </w:rPr>
        <w:t xml:space="preserve">Grupa przedmiotów: </w:t>
      </w:r>
    </w:p>
    <w:p>
      <w:pPr>
        <w:spacing w:before="20" w:after="190"/>
      </w:pPr>
      <w:r>
        <w:rPr/>
        <w:t xml:space="preserve">Obowiązkowe</w:t>
      </w:r>
    </w:p>
    <w:p>
      <w:pPr>
        <w:keepNext w:val="1"/>
        <w:spacing w:after="10"/>
      </w:pPr>
      <w:r>
        <w:rPr>
          <w:b/>
          <w:bCs/>
        </w:rPr>
        <w:t xml:space="preserve">Kod przedmiotu: </w:t>
      </w:r>
    </w:p>
    <w:p>
      <w:pPr>
        <w:spacing w:before="20" w:after="190"/>
      </w:pPr>
      <w:r>
        <w:rPr/>
        <w:t xml:space="preserve">WN1A_10</w:t>
      </w:r>
    </w:p>
    <w:p>
      <w:pPr>
        <w:keepNext w:val="1"/>
        <w:spacing w:after="10"/>
      </w:pPr>
      <w:r>
        <w:rPr>
          <w:b/>
          <w:bCs/>
        </w:rPr>
        <w:t xml:space="preserve">Semestr nominalny: </w:t>
      </w:r>
    </w:p>
    <w:p>
      <w:pPr>
        <w:spacing w:before="20" w:after="190"/>
      </w:pPr>
      <w:r>
        <w:rPr/>
        <w:t xml:space="preserve">1 / rok ak. 2012/2013</w:t>
      </w:r>
    </w:p>
    <w:p>
      <w:pPr>
        <w:keepNext w:val="1"/>
        <w:spacing w:after="10"/>
      </w:pPr>
      <w:r>
        <w:rPr>
          <w:b/>
          <w:bCs/>
        </w:rPr>
        <w:t xml:space="preserve">Liczba punktów ECTS: </w:t>
      </w:r>
    </w:p>
    <w:p>
      <w:pPr>
        <w:spacing w:before="20" w:after="190"/>
      </w:pPr>
      <w:r>
        <w:rPr/>
        <w:t xml:space="preserve">1</w:t>
      </w:r>
    </w:p>
    <w:p>
      <w:pPr>
        <w:keepNext w:val="1"/>
        <w:spacing w:after="10"/>
      </w:pPr>
      <w:r>
        <w:rPr>
          <w:b/>
          <w:bCs/>
        </w:rPr>
        <w:t xml:space="preserve">Liczba godzin pracy studenta związanych z osiągnięciem efektów uczenia się: </w:t>
      </w:r>
    </w:p>
    <w:p>
      <w:pPr>
        <w:spacing w:before="20" w:after="190"/>
      </w:pPr>
      <w:r>
        <w:rPr/>
        <w:t xml:space="preserve">Wykłady: liczba godzin według planu studiów - 10, zapoznanie ze wskazaną literaturą - 5, przygotowanie do kolokwium - 10, razem - 25; Razem - 25
</w:t>
      </w:r>
    </w:p>
    <w:p>
      <w:pPr>
        <w:keepNext w:val="1"/>
        <w:spacing w:after="10"/>
      </w:pPr>
      <w:r>
        <w:rPr>
          <w:b/>
          <w:bCs/>
        </w:rPr>
        <w:t xml:space="preserve">Liczba punktów ECTS na zajęciach wymagających bezpośredniego udziału nauczycieli akademickich: </w:t>
      </w:r>
    </w:p>
    <w:p>
      <w:pPr>
        <w:spacing w:before="20" w:after="190"/>
      </w:pPr>
      <w:r>
        <w:rPr/>
        <w:t xml:space="preserve">Wykłady - 10 h; Razem 10 h = 0,4 ECTS
</w:t>
      </w:r>
    </w:p>
    <w:p>
      <w:pPr>
        <w:keepNext w:val="1"/>
        <w:spacing w:after="10"/>
      </w:pPr>
      <w:r>
        <w:rPr>
          <w:b/>
          <w:bCs/>
        </w:rPr>
        <w:t xml:space="preserve">Język prowadzenia zajęć: </w:t>
      </w:r>
    </w:p>
    <w:p>
      <w:pPr>
        <w:spacing w:before="20" w:after="190"/>
      </w:pPr>
      <w:r>
        <w:rPr/>
        <w:t xml:space="preserve">polski</w:t>
      </w:r>
    </w:p>
    <w:p>
      <w:pPr>
        <w:keepNext w:val="1"/>
        <w:spacing w:after="10"/>
      </w:pPr>
      <w:r>
        <w:rPr>
          <w:b/>
          <w:bCs/>
        </w:rPr>
        <w:t xml:space="preserve">Liczba punktów ECTS, którą student uzyskuje w ramach zajęć o charakterze praktycznym: </w:t>
      </w:r>
    </w:p>
    <w:p>
      <w:pPr>
        <w:spacing w:before="20" w:after="190"/>
      </w:pPr>
      <w:r>
        <w:rPr/>
        <w:t xml:space="preserve">0</w:t>
      </w:r>
    </w:p>
    <w:p>
      <w:pPr>
        <w:keepNext w:val="1"/>
        <w:spacing w:after="10"/>
      </w:pPr>
      <w:r>
        <w:rPr>
          <w:b/>
          <w:bCs/>
        </w:rPr>
        <w:t xml:space="preserve">Formy zajęć i ich wymiar w semestrze: </w:t>
      </w:r>
    </w:p>
    <w:tbl>
      <w:tblGrid>
        <w:gridCol w:w="2200" w:type="dxa"/>
        <w:gridCol w:w="2200" w:type="dxa"/>
      </w:tblGrid>
      <w:tblPr>
        <w:tblW w:w="2500" w:type="auto"/>
        <w:tblBorders>
          <w:top w:val="single" w:sz="0" w:color="FFFFFF"/>
          <w:left w:val="single" w:sz="0" w:color="FFFFFF"/>
          <w:right w:val="single" w:sz="0" w:color="FFFFFF"/>
          <w:bottom w:val="single" w:sz="0" w:color="FFFFFF"/>
          <w:insideH w:val="single" w:sz="0" w:color="FFFFFF"/>
          <w:insideV w:val="single" w:sz="0" w:color="FFFFFF"/>
        </w:tblBorders>
      </w:tblP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Wykład: </w:t>
            </w:r>
          </w:p>
        </w:tc>
        <w:tc>
          <w:tcPr>
            <w:tcW w:w="2200" w:type="dxa"/>
          </w:tcPr>
          <w:p>
            <w:pPr/>
            <w:r>
              <w:rPr/>
              <w:t xml:space="preserve">150h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Ćwiczenia: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Laboratorium: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Projekt: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  <w:tr>
        <w:trPr>
          <w:trHeight w:val="250" w:hRule="atLeast"/>
        </w:trPr>
        <w:tc>
          <w:tcPr>
            <w:tcW w:w="2200" w:type="dxa"/>
          </w:tcPr>
          <w:p>
            <w:pPr/>
            <w:r>
              <w:rPr/>
              <w:t xml:space="preserve">Lekcje komputerowe: </w:t>
            </w:r>
          </w:p>
        </w:tc>
        <w:tc>
          <w:tcPr>
            <w:tcW w:w="2200" w:type="dxa"/>
          </w:tcPr>
          <w:p>
            <w:pPr/>
            <w:r>
              <w:rPr/>
              <w:t xml:space="preserve">0h</w:t>
            </w:r>
          </w:p>
        </w:tc>
      </w:tr>
    </w:tbl>
    <w:p/>
    <w:p>
      <w:pPr>
        <w:keepNext w:val="1"/>
        <w:spacing w:after="10"/>
      </w:pPr>
      <w:r>
        <w:rPr>
          <w:b/>
          <w:bCs/>
        </w:rPr>
        <w:t xml:space="preserve">Wymagania wstępne: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Limit liczby studentów: </w:t>
      </w:r>
    </w:p>
    <w:p>
      <w:pPr>
        <w:spacing w:before="20" w:after="190"/>
      </w:pPr>
      <w:r>
        <w:rPr/>
        <w:t xml:space="preserve">Wykład: min. 15</w:t>
      </w:r>
    </w:p>
    <w:p>
      <w:pPr>
        <w:keepNext w:val="1"/>
        <w:spacing w:after="10"/>
      </w:pPr>
      <w:r>
        <w:rPr>
          <w:b/>
          <w:bCs/>
        </w:rPr>
        <w:t xml:space="preserve">Cel przedmiotu: </w:t>
      </w:r>
    </w:p>
    <w:p>
      <w:pPr>
        <w:spacing w:before="20" w:after="190"/>
      </w:pPr>
      <w:r>
        <w:rPr/>
        <w:t xml:space="preserve">Celem przedmiotu jest uzyskanie przez studenta wiedzy i umiejętności dotyczących własności intelektualnej, w tym własności wynalazków, znaków towarowych i zdobniczych, topografii układów scalonych, patentów oraz procedury rejestracji prawa własności intelektualnej. Podczas zajęć przedstawiana jest rola Urzędu Patentowego i rzeczników patentowych, prawa autorskie i pokrewne odnoszące się do własności intelektualnej, w tym przemysłowej, prawne procedury ochrony własności intelektualnej (dochodzenie roszczeń cywilnych, zgłaszanie odpowiedzialności karnej, przeciwdziałanie czynom nieuczciwej konkurencji). Celem przedmiotu jest uzyskanie przez studentów wiedzy w zakresie rozpoznawania i klasyfikowania własności intelektualnej, nabycie umiejętności korzystania z praw własności na różnych polach eksploatacji oraz podejmowania kroków prawnych w celu ochrony tych praw.
</w:t>
      </w:r>
    </w:p>
    <w:p>
      <w:pPr>
        <w:keepNext w:val="1"/>
        <w:spacing w:after="10"/>
      </w:pPr>
      <w:r>
        <w:rPr>
          <w:b/>
          <w:bCs/>
        </w:rPr>
        <w:t xml:space="preserve">Treści kształcenia: </w:t>
      </w:r>
    </w:p>
    <w:p>
      <w:pPr>
        <w:spacing w:before="20" w:after="190"/>
      </w:pPr>
      <w:r>
        <w:rPr/>
        <w:t xml:space="preserve">W1 - Polskie źródła prawa ochrony własności intelektualnej. Prawodawstwo europejskie i światowe; W2 - Historia ochrony własności intelektualnej. Wynalazki i odkrycia. Omówienie ustawy Prawo własności przemysłowej; W3 - Krajowe, europejskie i światowe procedury rejestracji wynalazków; W4 - Wzory użytkowe. Procedury zgłoszeniowe; W5 - Prawo autorskie. Zasady ochrony utworów, wykonań artystycznych i innych. Omówienie ustawy Prawo autorskie; W6 - Wzory przemysłowe. Procedury zgłoszeniowe; W7 - Znaki towarowe. Oznaczenia geograficzne. Procedury zgłoszeniowe; W8 - Zarządzanie własnością intelektualną. Ocena innowacyjnych przedsięwzięć; W9 - Czyny nieuczciwej konkurencji naruszające własność intelektualną i ich zwalczanie, umowy i licencje.
</w:t>
      </w:r>
    </w:p>
    <w:p>
      <w:pPr>
        <w:keepNext w:val="1"/>
        <w:spacing w:after="10"/>
      </w:pPr>
      <w:r>
        <w:rPr>
          <w:b/>
          <w:bCs/>
        </w:rPr>
        <w:t xml:space="preserve">Metody oceny: </w:t>
      </w:r>
    </w:p>
    <w:p>
      <w:pPr>
        <w:spacing w:before="20" w:after="190"/>
      </w:pPr>
      <w:r>
        <w:rPr/>
        <w:t xml:space="preserve">Warunkiem zaliczenia przedmiotu jest uzyskanie pozytywnej oceny z jednego kolokwium. Podstawą sprawdzenia wiedzy jest test pisemny zawierający pytania otwarte lub zamknięte. Do zaliczenia przedmiotu konieczne jest uzyskanie pozytywnej oceny z kolokwium. Osoby, które nie mogły przystąpić do kolokwium, lub otrzymały z kolokwium ocenę niedostateczną, przystępują do zaliczenia poprawkowego. Zaliczenie poprawkowe jest ustne.
</w:t>
      </w:r>
    </w:p>
    <w:p>
      <w:pPr>
        <w:keepNext w:val="1"/>
        <w:spacing w:after="10"/>
      </w:pPr>
      <w:r>
        <w:rPr>
          <w:b/>
          <w:bCs/>
        </w:rPr>
        <w:t xml:space="preserve">Egzamin: </w:t>
      </w:r>
    </w:p>
    <w:p>
      <w:pPr>
        <w:spacing w:before="20" w:after="190"/>
      </w:pPr>
      <w:r>
        <w:rPr/>
        <w:t xml:space="preserve">nie</w:t>
      </w:r>
    </w:p>
    <w:p>
      <w:pPr>
        <w:keepNext w:val="1"/>
        <w:spacing w:after="10"/>
      </w:pPr>
      <w:r>
        <w:rPr>
          <w:b/>
          <w:bCs/>
        </w:rPr>
        <w:t xml:space="preserve">Literatura: </w:t>
      </w:r>
    </w:p>
    <w:p>
      <w:pPr>
        <w:spacing w:before="20" w:after="190"/>
      </w:pPr>
      <w:r>
        <w:rPr/>
        <w:t xml:space="preserve">1. Publikacje dostępne na stronie internetowej Urzędu Patentowego http://www.uprp.gov.pl; 2. Szewc A., Jyż G.: Prawo własności przemysłowej, Wydawnictwo C. H. Beck, Warszawa 2003, 3. Nowińska E., Promińska U., du Vall M.: Prawo własności przemysłowej, LexisNexis, Warszawa 2005; 4. Biegański L.: Ochrona własności przemysłowej, PARP Warszawa 2004; 5. Golat R.: Prawo własności przemysłowej: wprowadzenie, Warszawa-Jaktorów, Warszawa 2003; 6. Barta J.: Prawo autorskie, C. H. Beck, Warszawa 2007.
</w:t>
      </w:r>
    </w:p>
    <w:p>
      <w:pPr>
        <w:keepNext w:val="1"/>
        <w:spacing w:after="10"/>
      </w:pPr>
      <w:r>
        <w:rPr>
          <w:b/>
          <w:bCs/>
        </w:rPr>
        <w:t xml:space="preserve">Witryna www przedmiotu: </w:t>
      </w:r>
    </w:p>
    <w:p>
      <w:pPr>
        <w:spacing w:before="20" w:after="190"/>
      </w:pPr>
      <w:r>
        <w:rPr/>
        <w:t xml:space="preserve">-</w:t>
      </w:r>
    </w:p>
    <w:p>
      <w:pPr>
        <w:keepNext w:val="1"/>
        <w:spacing w:after="10"/>
      </w:pPr>
      <w:r>
        <w:rPr>
          <w:b/>
          <w:bCs/>
        </w:rPr>
        <w:t xml:space="preserve">Uwagi: </w:t>
      </w:r>
    </w:p>
    <w:p>
      <w:pPr>
        <w:spacing w:before="20" w:after="190"/>
      </w:pPr>
      <w:r>
        <w:rPr/>
        <w:t xml:space="preserve">-</w:t>
      </w:r>
    </w:p>
    <w:p>
      <w:pPr>
        <w:pStyle w:val="Heading2"/>
      </w:pPr>
      <w:bookmarkStart w:id="1" w:name="_Toc1"/>
      <w:r>
        <w:t>Efekty przedmiotowe</w:t>
      </w:r>
      <w:bookmarkEnd w:id="1"/>
    </w:p>
    <w:p>
      <w:pPr>
        <w:pStyle w:val="Heading3"/>
      </w:pPr>
      <w:bookmarkStart w:id="2" w:name="_Toc2"/>
      <w:r>
        <w:t>Profil ogólnoakademicki - wiedza</w:t>
      </w:r>
      <w:bookmarkEnd w:id="2"/>
    </w:p>
    <w:p>
      <w:pPr>
        <w:keepNext w:val="1"/>
        <w:spacing w:after="10"/>
      </w:pPr>
      <w:r>
        <w:rPr>
          <w:b/>
          <w:bCs/>
        </w:rPr>
        <w:t xml:space="preserve">Efekt W10_01: </w:t>
      </w:r>
    </w:p>
    <w:p>
      <w:pPr/>
      <w:r>
        <w:rPr/>
        <w:t xml:space="preserve">Ma wiedzę dotyczącą wszystkich aspektów własności intelektualnej włącznie ze znajomością krajowych i zagranicznych źródeł prawa. Rozumie zasady transferu technologii w gospodarce, zarówno z nauki do gospodarki, jak i w obrocie gospodarczym między przedsiębiorstwami.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M1A_W10_01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T1A_W10</w:t>
      </w:r>
    </w:p>
    <w:p>
      <w:pPr>
        <w:keepNext w:val="1"/>
        <w:spacing w:after="10"/>
      </w:pPr>
      <w:r>
        <w:rPr>
          <w:b/>
          <w:bCs/>
        </w:rPr>
        <w:t xml:space="preserve">Efekt W11_01: </w:t>
      </w:r>
    </w:p>
    <w:p>
      <w:pPr/>
      <w:r>
        <w:rPr/>
        <w:t xml:space="preserve">Ma wiedzę dotyczącą zastosowania wiedzy dotyczącej własności intelektualnej do zarządzania, potrafi włączyć zdobytą wiedzę do przygotowania strategii przedsiębiorstwa.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M1A_W11_01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T1A_W11</w:t>
      </w:r>
    </w:p>
    <w:p>
      <w:pPr>
        <w:pStyle w:val="Heading3"/>
      </w:pPr>
      <w:bookmarkStart w:id="3" w:name="_Toc3"/>
      <w:r>
        <w:t>Profil ogólnoakademicki - umiejętności</w:t>
      </w:r>
      <w:bookmarkEnd w:id="3"/>
    </w:p>
    <w:p>
      <w:pPr>
        <w:keepNext w:val="1"/>
        <w:spacing w:after="10"/>
      </w:pPr>
      <w:r>
        <w:rPr>
          <w:b/>
          <w:bCs/>
        </w:rPr>
        <w:t xml:space="preserve">Efekt U01_01: </w:t>
      </w:r>
    </w:p>
    <w:p>
      <w:pPr/>
      <w:r>
        <w:rPr/>
        <w:t xml:space="preserve">Potrafi pozyskiwać informacje z literatury oraz potrafi czytać przepisy prawne dotyczące własności intelektualnej. Umie przeglądać dostępne krajowe i światowe bazy patentowe.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M1A_U01_01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T1A_U01</w:t>
      </w:r>
    </w:p>
    <w:p>
      <w:pPr>
        <w:keepNext w:val="1"/>
        <w:spacing w:after="10"/>
      </w:pPr>
      <w:r>
        <w:rPr>
          <w:b/>
          <w:bCs/>
        </w:rPr>
        <w:t xml:space="preserve">Efekt U05_01: </w:t>
      </w:r>
    </w:p>
    <w:p>
      <w:pPr/>
      <w:r>
        <w:rPr/>
        <w:t xml:space="preserve">Umie pozyskiwać informacje z literatury w celu przygotowania się do kolokwium.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T1A_U05</w:t>
      </w:r>
    </w:p>
    <w:p>
      <w:pPr>
        <w:keepNext w:val="1"/>
        <w:spacing w:after="10"/>
      </w:pPr>
      <w:r>
        <w:rPr>
          <w:b/>
          <w:bCs/>
        </w:rPr>
        <w:t xml:space="preserve">Efekt U12_01: </w:t>
      </w:r>
    </w:p>
    <w:p>
      <w:pPr/>
      <w:r>
        <w:rPr/>
        <w:t xml:space="preserve">Zna metody wyceny technologii oraz metody oceny ekonomicznej technologii, dzięki czemu może ocenić przed realizacją projektu, czy jest szansa na wdrożenie technologii.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M1A_U12_01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T1A_U12</w:t>
      </w:r>
    </w:p>
    <w:p>
      <w:pPr>
        <w:pStyle w:val="Heading3"/>
      </w:pPr>
      <w:bookmarkStart w:id="4" w:name="_Toc4"/>
      <w:r>
        <w:t>Profil ogólnoakademicki - kompetencje społeczne</w:t>
      </w:r>
      <w:bookmarkEnd w:id="4"/>
    </w:p>
    <w:p>
      <w:pPr>
        <w:keepNext w:val="1"/>
        <w:spacing w:after="10"/>
      </w:pPr>
      <w:r>
        <w:rPr>
          <w:b/>
          <w:bCs/>
        </w:rPr>
        <w:t xml:space="preserve">Efekt K03_01: </w:t>
      </w:r>
    </w:p>
    <w:p>
      <w:pPr/>
      <w:r>
        <w:rPr/>
        <w:t xml:space="preserve">Ma świadomość, że w przypadku realizacji wspólnych projektów powstają różnorodne zobowiązania dotyczące własności przemysłowej i praw autorskich i że należy to brać pod uwagę w opracowywaniu umów.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M1A_K03_01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T1A_K03</w:t>
      </w:r>
    </w:p>
    <w:p>
      <w:pPr>
        <w:keepNext w:val="1"/>
        <w:spacing w:after="10"/>
      </w:pPr>
      <w:r>
        <w:rPr>
          <w:b/>
          <w:bCs/>
        </w:rPr>
        <w:t xml:space="preserve">Efekt K05_01: </w:t>
      </w:r>
    </w:p>
    <w:p>
      <w:pPr/>
      <w:r>
        <w:rPr/>
        <w:t xml:space="preserve">Ma świadomość, że wprowadzanie na rynek produktów może naruszać czyjąś własność intelektualną, potrafi sprawdzić, czy takiego naruszenia nie ma, ma świadomość, że należy chronić swoją własność intelektualną z powodu możliwości wykorzystania jej przez nieuczciwych konkurentów.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M1A_K05_01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T1A_K05</w:t>
      </w:r>
    </w:p>
    <w:p>
      <w:pPr>
        <w:keepNext w:val="1"/>
        <w:spacing w:after="10"/>
      </w:pPr>
      <w:r>
        <w:rPr>
          <w:b/>
          <w:bCs/>
        </w:rPr>
        <w:t xml:space="preserve">Efekt K06_02: </w:t>
      </w:r>
    </w:p>
    <w:p>
      <w:pPr/>
      <w:r>
        <w:rPr/>
        <w:t xml:space="preserve">Ma świadomość, że wykorzystanie innowacji może pomóc w rozwoju indywidualnego przedsiębiorstwa, że należy wykorzystywać innowacje w strategii przedsiębiorstwa dbając jednocześnie o ochronę swojej własności intelektualnej. 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M1A_K06_02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T1A_K06</w:t>
      </w:r>
    </w:p>
    <w:p>
      <w:pPr>
        <w:keepNext w:val="1"/>
        <w:spacing w:after="10"/>
      </w:pPr>
      <w:r>
        <w:rPr>
          <w:b/>
          <w:bCs/>
        </w:rPr>
        <w:t xml:space="preserve">Efekt K07_01: </w:t>
      </w:r>
    </w:p>
    <w:p>
      <w:pPr/>
      <w:r>
        <w:rPr/>
        <w:t xml:space="preserve">Ma świadomość, że w przypadku publikacji patentu informacje dotyczące wynalazku są szczegółowo publikowane, dzięki czemu podnosi się ogólna wiedza społeczeństwa.</w:t>
      </w:r>
    </w:p>
    <w:p>
      <w:pPr>
        <w:spacing w:before="60"/>
      </w:pPr>
      <w:r>
        <w:rPr/>
        <w:t xml:space="preserve">Weryfikacja: </w:t>
      </w:r>
    </w:p>
    <w:p>
      <w:pPr>
        <w:spacing w:before="20" w:after="190"/>
      </w:pPr>
      <w:r>
        <w:rPr/>
        <w:t xml:space="preserve">Kolokwium (W1 - W8).</w:t>
      </w:r>
    </w:p>
    <w:p>
      <w:pPr>
        <w:spacing w:before="20" w:after="190"/>
      </w:pPr>
      <w:r>
        <w:rPr>
          <w:b/>
          <w:bCs/>
        </w:rPr>
        <w:t xml:space="preserve">Powiązane efekty kierunkowe: </w:t>
      </w:r>
      <w:r>
        <w:rPr/>
        <w:t xml:space="preserve">M1A_K07_01</w:t>
      </w:r>
    </w:p>
    <w:p>
      <w:pPr>
        <w:spacing w:before="20" w:after="190"/>
      </w:pPr>
      <w:r>
        <w:rPr>
          <w:b/>
          <w:bCs/>
        </w:rPr>
        <w:t xml:space="preserve">Powiązane efekty obszarowe: </w:t>
      </w:r>
      <w:r>
        <w:rPr/>
        <w:t xml:space="preserve">T1A_K07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2">
    <w:link w:val="Heading2Char"/>
    <w:name w:val="heading 2"/>
    <w:basedOn w:val="Normal"/>
    <w:pPr>
      <w:spacing w:before="40" w:after="190"/>
    </w:pPr>
    <w:rPr>
      <w:sz w:val="34"/>
      <w:szCs w:val="34"/>
      <w:b/>
      <w:bCs/>
    </w:rPr>
  </w:style>
  <w:style w:type="paragraph" w:styleId="Heading3">
    <w:link w:val="Heading3Char"/>
    <w:name w:val="heading 3"/>
    <w:basedOn w:val="Normal"/>
    <w:pPr>
      <w:spacing w:before="40" w:after="190"/>
    </w:pPr>
    <w:rPr>
      <w:sz w:val="26"/>
      <w:szCs w:val="26"/>
      <w:b/>
      <w:bCs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2026-09-11T12:18:35+02:00</dcterms:created>
  <dcterms:modified xsi:type="dcterms:W3CDTF">2026-09-11T12:18:35+02:00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