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Formy ugrupowań integracyjnych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Latoszek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37.2/2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wykłady, 10 h - przygotowanie do zajęć,  15 h - przygotowanie pracy, 20 h - przygotowanie do kolokwium,  8 h - konsultacje, 6 h - zaliczenia poprawkowe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wykłady, 0,32 ECTS - konsultacje, 0,24 ECTS - zaliczenia poprawkowe.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Międzynarodowe Stosunki Gospodarcze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ekonomicznym mechanizmem międzynarodowej integracji gospodarczej na przykładzie wybranych ugrupowań integracyjnych.
Celem nauczania przedmiotu jest wprowadzenie do specjalistycznych studiów nad działaniami Unii Europejskiej.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Przyczyny i formy integracji międzynarodowej.
Mechanizm międzynarodowej integracji gospodarczej w teorii i praktyce.
Geneza, założenia i zasady funkcjonowania wybranych ugrupowań integracyjnych (NAFTA, MERCOSUR, ASEAN).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Warunkami zaliczenia przedmiotu są dwa sprawdziany pisemne testowe poprzedzone pracą zaliczeniową. Praca stanowić będzie 45% oceny końcowej, sprawdziany - 55%.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1.Latoszek E., Proczek M., Organizacje międzynarodowe we współczesnym świecie, wyd. Elipsa. Warszawa 2006
2.Latoszek E., Integracja europejska. Mechanizmy i wyzwania, KiW, Warszawa 2007
Literatura uzupełniająca:
1.Bierzanek R., Symonides J., Prawo międzynarodowe publiczne, Wyd. Lexis Nexis, Warszawa 2004
2.Czubik P., Kuźniak B., Organizacje międzynarodowe, Wyd. C.H.Beck,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mechanizmy międzynarodowej integracji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W17: </w:t>
      </w:r>
    </w:p>
    <w:p>
      <w:pPr/>
      <w:r>
        <w:rPr/>
        <w:t xml:space="preserve">Ma wiedzę na temat wybranych ugrupowań integracyjnych.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wykorzystać podstawowe przepisy prawne regulujące działania UE zachodzące w gospodarce 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Wykorzystuje wiedzę dotyczącą form ugrupowań integracyjnych w przygotowaniu referatów.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referatów.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K11: </w:t>
      </w:r>
    </w:p>
    <w:p>
      <w:pPr/>
      <w:r>
        <w:rPr/>
        <w:t xml:space="preserve">Potrafi samodzielnie analizować trendy rozwojowe form integracyjnych we współczesnym świecie.e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referatów.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2026-10-02T13:40:19+02:00</dcterms:created>
  <dcterms:modified xsi:type="dcterms:W3CDTF">2026-10-02T13:40:19+02:00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