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ZFG 24.2/2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22 h - przygotowanie do zajęć, 24 h - przygotowanie do zaliczenia, 20 h - przygotowanie case study, 8 h - konsultacje, 10 h - zaliczenia,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0,32 ECTS - konsultacje, 0,4 ECTS - zaliczenia w tym poprawkowe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Asymetria informacji a struktura organizacji [2W]  
11. Negocjacje, aukcje, przetargi [2W]  
</w:t>
      </w:r>
    </w:p>
    <w:p>
      <w:pPr>
        <w:keepNext w:val="1"/>
        <w:spacing w:after="10"/>
      </w:pPr>
      <w:r>
        <w:rPr>
          <w:b/>
          <w:bCs/>
        </w:rPr>
        <w:t xml:space="preserve">Metody oceny: </w:t>
      </w:r>
    </w:p>
    <w:p>
      <w:pPr>
        <w:spacing w:before="20" w:after="190"/>
      </w:pPr>
      <w:r>
        <w:rPr/>
        <w:t xml:space="preserve">1. Forma i przebieg  zaliczenia przedmiotu: 
- Forma: pisemna, pytania opisowe, otwarte, dopuszczalne pomoce (formę i zakres dopuszczalnych pomocy ustala prowadzący), dwa kolokwia
- Czas trwania zaliczenia 60 minut  - 90 minut,
2. Czynniki decydujące o zaliczeniu przedmiotu i wpływające na ocenę końcową (jednocześnie wszystkie wymienione czynniki):
- uczestnictwo w zajęciach 
- aktywność na zajęciach
- ocena pracy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terminologię z zakresu ekonomii menedżerskiej.</w:t>
      </w:r>
    </w:p>
    <w:p>
      <w:pPr>
        <w:spacing w:before="60"/>
      </w:pPr>
      <w:r>
        <w:rPr/>
        <w:t xml:space="preserve">Weryfikacja: </w:t>
      </w:r>
    </w:p>
    <w:p>
      <w:pPr>
        <w:spacing w:before="20" w:after="190"/>
      </w:pPr>
      <w:r>
        <w:rPr/>
        <w:t xml:space="preserve">Kolokwium I, II - forma odpowiedzi na pytania.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wiedzę umożliwiającą ocenę menedżerskiego zarządzania jednostkami organizacyjnymi na szczeblu lokalnym oraz ponadregionalnym.</w:t>
      </w:r>
    </w:p>
    <w:p>
      <w:pPr>
        <w:spacing w:before="60"/>
      </w:pPr>
      <w:r>
        <w:rPr/>
        <w:t xml:space="preserve">Weryfikacja: </w:t>
      </w:r>
    </w:p>
    <w:p>
      <w:pPr>
        <w:spacing w:before="20" w:after="190"/>
      </w:pPr>
      <w:r>
        <w:rPr/>
        <w:t xml:space="preserve">Kolokwium I, II - forma odpowiedzi na pytania.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W13: </w:t>
      </w:r>
    </w:p>
    <w:p>
      <w:pPr/>
      <w:r>
        <w:rPr/>
        <w:t xml:space="preserve">Ma wiedzę z teorii ekonomii przydatną w podejmowanych decyzjach menedżerskich.</w:t>
      </w:r>
    </w:p>
    <w:p>
      <w:pPr>
        <w:spacing w:before="60"/>
      </w:pPr>
      <w:r>
        <w:rPr/>
        <w:t xml:space="preserve">Weryfikacja: </w:t>
      </w:r>
    </w:p>
    <w:p>
      <w:pPr>
        <w:spacing w:before="20" w:after="190"/>
      </w:pPr>
      <w:r>
        <w:rPr/>
        <w:t xml:space="preserve">Kolokwium I, II - forma odpowiedzi na pytania. </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umiejetność interpretacji relacji kosztów i cen występujących w skali globalnej i regionalnej.</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2026-10-03T09:05:37+02:00</dcterms:created>
  <dcterms:modified xsi:type="dcterms:W3CDTF">2026-10-03T09:05:37+02:00</dcterms:modified>
</cp:coreProperties>
</file>

<file path=docProps/custom.xml><?xml version="1.0" encoding="utf-8"?>
<Properties xmlns="http://schemas.openxmlformats.org/officeDocument/2006/custom-properties" xmlns:vt="http://schemas.openxmlformats.org/officeDocument/2006/docPropsVTypes"/>
</file>