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niewielka pomocą prowadzącego. W szczególności rozwiązania postawionego problemu, doboru literatury, metod badawczych, przedstawienia i krytycznej analizy wyników. 
Dokładna specyfikacja zalezna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poszerzoną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skorzystać z literatury do poszukiwania wskazówek przy rozwiązywaniu wybranego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MiBM2_U17, MiBM2_U19, MiBM2_U20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T2A_U13, T2A_U15, T2A_U16</w:t>
      </w:r>
    </w:p>
    <w:p>
      <w:pPr>
        <w:keepNext w:val="1"/>
        <w:spacing w:after="10"/>
      </w:pPr>
      <w:r>
        <w:rPr>
          <w:b/>
          <w:bCs/>
        </w:rPr>
        <w:t xml:space="preserve">Efekt EK3: </w:t>
      </w:r>
    </w:p>
    <w:p>
      <w:pPr/>
      <w:r>
        <w:rPr/>
        <w:t xml:space="preserve">Potrafi rozwiązać proste zadanie z zakresu autpmatyki i robotyki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MiBM2_U15, MiBM2_U16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T2A_U14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samodzielnie przygotować sprawozdanie z pracy oraz w rozmowie z prowadzącym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MiBM2_U03, MiBM2_U07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Potrafi myślec w spodób kreatywny samodzielnie proponując sposób rozwiązania postawinego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MBiM2_K01, MBiM2_K04,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2025-05-05T19:16:40+02:00</dcterms:created>
  <dcterms:modified xsi:type="dcterms:W3CDTF">2025-05-05T19:16:40+02:00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