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ZIE 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seminarium, 26 h - przygotowanie do zajęć w tym zapoznanie z literaturą, 25 h - przygotowanie pracy,  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0,64 ECTS
II.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
- Struktura pracy.
- Określenie strony formalnej pracy.
- Rodzaje i metody sporządzania przypisów.
- Formy prezentacji materiału badawczego: wykresy, tabele, schematy.
Opracowanie bibliografii.                                                   Wybór metod badawczych.
Przygotowanie wstępnej koncepcji pracy.
Opracowanie planu pracy.
Poszukiwanie materiałów do badań empirycznych.               Prezentacja wybranych (uzgodnionych z promotorem) zagadnień ze zrealizowanej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wiedzę wymaganą przy wyborze właściwych metod i technik badawczych niezbędnych do prowadzenia samodzielnej pracy badawczej.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społecznych do opisu wybranych aspektów funkcjonowania procesów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U31: </w:t>
      </w:r>
    </w:p>
    <w:p>
      <w:pPr/>
      <w:r>
        <w:rPr/>
        <w:t xml:space="preserve">Potrafi dobrać odpowiednie metody i narzedzia do rozwiazania problemu badawczego wystepujacego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umiejetność wypowiadania sie i prezentowania wybranych zagadnień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istniejacego w danym obszrze stanu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Postepuje zgodnie z wymogami stawianymi pracy dyplpmowej,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2026-07-28T04:08:24+02:00</dcterms:created>
  <dcterms:modified xsi:type="dcterms:W3CDTF">2026-07-28T04:08:24+02:00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