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 
[nakład pracy związany z zajęciami wymagającymi bezpośredniego udziału nauczycieli akademickich: 30 h; przygotowanie do egzaminu: 20 h, przygotowanie do ćwiczeń: 25 h; przygotowanie do zaliczenia ćwiczeń: 15 h]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h, co odpowiada 1 ECTS
[wykład: 15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i kontroli kosztów
2.	Analiza przedsięwzięć gospodarczych na podstawie wielkości krytycznych. Ceny 
3.	Planowanie zysków i decyzje krótkoterminowe
4.	Budżet przedsiębiorstwa. Planowanie finansowo-kosztowe
5.	Rachunkowość w sterowaniu inwestycjami 
6.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Sprawdzian pisemny : </w:t>
      </w:r>
    </w:p>
    <w:p>
      <w:pPr/>
      <w:r>
        <w:rPr/>
        <w:t xml:space="preserve">Student potrafi kalkulować górne i dolne granice cenowe oraz ceny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U_03 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U_04 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U_05 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  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KS_02 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2026-07-29T18:18:34+02:00</dcterms:created>
  <dcterms:modified xsi:type="dcterms:W3CDTF">2026-07-29T18:18:34+02:00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