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seminarium, 26 h - przygotowanie do zajęć w tym zapoznanie z literaturą, 25 h - przygotowanie pracy,  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0,64 ECTS
II.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
- Struktura pracy.
- Określenie strony formalnej pracy.
- Rodzaje i metody sporządzania przypisów.
- Formy prezentacji materiału badawczego: wykresy, tabele, schematy.
Opracowanie bibliografii.                                                  Wybór metod badawczych.
Przygotowanie wstępnej koncepcji pracy.
Opracowanie planu pracy.
Poszukiwanie materiałów do badań empirycznych.             Prezentacja wybranych (uzgodnionych z promotorem) zagadnień ze zrealizowanej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wiedzę wymaganą przy wyborze właściwych metod i technik badawczych niezbędnych do prowadzenia samodzielnej pracy badawczej.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społecznych do opisu wybranych aspektów funkcjonowania procesów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U27: </w:t>
      </w:r>
    </w:p>
    <w:p>
      <w:pPr/>
      <w:r>
        <w:rPr/>
        <w:t xml:space="preserve">Potrafi dobrać odpowiednie metody i narzedzia do rozwiązania problemu badawczego wystepującego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 Potrafi ocenić wyniki wkładu własnej pracy w relacji do istniejacego w danym obszarze stanu badań.fi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dyplpmowej,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2026-10-02T01:04:59+02:00</dcterms:created>
  <dcterms:modified xsi:type="dcterms:W3CDTF">2026-10-02T01:04:59+02:00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