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26</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wykład i ćwiczenia 32 h, przygotowanie do zajęć 14 h, przygotowanie do egzaminu 16 h,przygotowanie do kolokwium 16h, przygotowanie zadania projektowego 4 h, konsultacje 4 h, pozostałe - 8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0,16 ECTS - konsultacje 
0,32 ECTS - pozostałe: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Statystyka opisowa
2. Rachunkowość
3. Analiza finansowa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podstawowymi aspektami finansów przedsiębiorstw i podejmowania decyzji finansowych.
Celem nauczania przedmiotu jest nabycie umiejętności rozumienia zasad funkcjonowania systemu finansowego w gospodarce przez pryzmat przedsiębiorstw, strumieni i zasobów finansowych w przedsiębiorstwie, rynkach finansowych oraz ryzyka i oceny efektywności inwestowania na rynku kapitałowym. Uzupełniająco celem nauczania jest wskazanie zasad finansowania i inwestowania kapitałów w firmie, dobór i wykorzystanie narzędzi monitorujących zarządzanie krótkoterminowymi finansami firmy, analizy fundamentalnej oraz podstaw zarządzania ryzykiem.
</w:t>
      </w:r>
    </w:p>
    <w:p>
      <w:pPr>
        <w:keepNext w:val="1"/>
        <w:spacing w:after="10"/>
      </w:pPr>
      <w:r>
        <w:rPr>
          <w:b/>
          <w:bCs/>
        </w:rPr>
        <w:t xml:space="preserve">Treści kształcenia: </w:t>
      </w:r>
    </w:p>
    <w:p>
      <w:pPr>
        <w:spacing w:before="20" w:after="190"/>
      </w:pPr>
      <w:r>
        <w:rPr/>
        <w:t xml:space="preserve">Wykłady:
1. Rynki finansowe [1W ]
2. Źródła i struktura kapitału a wartość firmy. [2W ]
3. Strategie finansowania majątku [2W]
4. Wartość pieniądza w czasie [3W]
5. Inwestycje finansowe, zarządzanie ryzykiem [4W]
6. Mechanizmy dźwigni w ocenie ryzyka [4W]
Ćwiczenia:
1. Źródła i struktura kapitału a wartość firmy. [2Ć  ]
2. Strategie finansowania majątku [2 Ć]
3. Wartość pieniądza w czasie [5 Ć]
4. Inwestycje finansowe, zarządzanie ryzykiem [ 5 Ć]
5. Mechanizmy dźwigni w ocenie ryzyka [  2Ć]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 Czas trwania zaliczenia:  60 minut - 90 minut,
czas trwania egzaminu 60 minut  - 90 minut,
2. Czynniki decydujące o zaliczeniu przedmiotu i wpływające na ocenę końcową (jednocześnie wszystkie wymienione czynniki):
- uczestnictwo w zajęciach 
- aktywność na zajęciach
- ocena pracy case study
- wyniki uzyskane z zaliczenia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W17: </w:t>
      </w:r>
    </w:p>
    <w:p>
      <w:pPr/>
      <w:r>
        <w:rPr/>
        <w:t xml:space="preserve">Zna mechanizmy finansowania różnych obszarów działalności gospodarczej,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keepNext w:val="1"/>
        <w:spacing w:after="10"/>
      </w:pPr>
      <w:r>
        <w:rPr>
          <w:b/>
          <w:bCs/>
        </w:rPr>
        <w:t xml:space="preserve">Efekt W21: </w:t>
      </w:r>
    </w:p>
    <w:p>
      <w:pPr/>
      <w:r>
        <w:rPr/>
        <w:t xml:space="preserve">Ma wiedzę na temat uwarunkowań rozwojowych firmy w kontekście jej standingu finansowego.</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U26: </w:t>
      </w:r>
    </w:p>
    <w:p>
      <w:pPr/>
      <w:r>
        <w:rPr/>
        <w:t xml:space="preserve">Potrafi dokonać analizy oceny efektywności inwestowania w instrumenty finansowe oraz ocenić związane z nimi ryzyko w celu podjęcia decyzji.</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 wytrwale dąży do osiągnięcia zamierzonego celu zarówno indywidualnie jak i zespołowo.</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dane statystyczne, rzetelnie przygotować dane źródłowe oraz przeprowdzić ich analizę.</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2026-01-16T02:07:34+01:00</dcterms:created>
  <dcterms:modified xsi:type="dcterms:W3CDTF">2026-01-16T02:07:34+01:00</dcterms:modified>
</cp:coreProperties>
</file>

<file path=docProps/custom.xml><?xml version="1.0" encoding="utf-8"?>
<Properties xmlns="http://schemas.openxmlformats.org/officeDocument/2006/custom-properties" xmlns:vt="http://schemas.openxmlformats.org/officeDocument/2006/docPropsVTypes"/>
</file>