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ZNK371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Celem przedmiotu jest zapoznanie studentów kierunków technicznych z podstawowymi regulacjami prawnymi dotyczącymi statusu przedsiębiorców oraz prowadzenia działalności gospodarczej na terytorium Rzeczpospolitej oraz Unii Europejskiej.  
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Spółki osobowe prawa handlowego. 
W5. Spółki kapitałowe prawa handlowego. Fundacje i stowarzyszenia jako przedsiębiorcy.
W6. Umowy w działalności gospodarczej z uwzględnieniem świadczenia usług drogą elektroniczną. 
W7. Ochrona konkurencji i konsumentów. Rozstrzyganie sporów gospodarczych.
W8. Prawne formy zatrudnienia – umowy o pracę i umowy cywilnoprawne.
W9. Podatki w działalności gospodarczej
</w:t>
      </w:r>
    </w:p>
    <w:p>
      <w:pPr>
        <w:keepNext w:val="1"/>
        <w:spacing w:after="10"/>
      </w:pPr>
      <w:r>
        <w:rPr>
          <w:b/>
          <w:bCs/>
        </w:rPr>
        <w:t xml:space="preserve">Metody oceny: </w:t>
      </w:r>
    </w:p>
    <w:p>
      <w:pPr>
        <w:spacing w:before="20" w:after="190"/>
      </w:pPr>
      <w:r>
        <w:rPr/>
        <w:t xml:space="preserve">Ocena wystawiana na podstawie testu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2026-07-29T13:05:57+02:00</dcterms:created>
  <dcterms:modified xsi:type="dcterms:W3CDTF">2026-07-29T13:05:57+02:00</dcterms:modified>
</cp:coreProperties>
</file>

<file path=docProps/custom.xml><?xml version="1.0" encoding="utf-8"?>
<Properties xmlns="http://schemas.openxmlformats.org/officeDocument/2006/custom-properties" xmlns:vt="http://schemas.openxmlformats.org/officeDocument/2006/docPropsVTypes"/>
</file>