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i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 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(30 - wykłady; 10 - konsultacje; 10 praca własna studenta: przygotowanie do zaliczenia, przygotowanie do zajęć w tym zapoznanie z literaturą, przygotowanie 2 prac)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Wykłady: 1,2                          
II Konsultacje: 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zagadnieniami teoretycznymi związanymi z grafiką komputerową oraz multimediami a także z wybranymi programami służącymi do obróbki obrazu i dźwięku. Celem nauczania przedmiotu jest nabycie przez studenta wiedzy i umiejętności z zakresu przetwarzania obrazów rastrowych, dźwięków, plików filmowych oraz wykorzystania ich do publikacji w sieci lub prezentacjach interaktywnych.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Percepcja świata zewnętrznego. Grafika rastrowa i wektorowa. Modele kolorów. Formaty plików graficznych. Selekcje. Przekształcenia. Operacje na warstwach. Maski warstw. Przegląd edytorów grafiki. Korekta fotografii. Przygotowanie grafiki do publikacji w Internecie. Pliki dźwiękowe – formaty, kompresja, edycja. Przegląd edytorów dźwięku. Pliki video – formaty, kompresja, edycja. Zasady przygotowania prezentacji multimedialnych. Prezentacje multimedialne i interaktywne. Publikacja prezentacji w Internecie.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wpływa ocena z dwóch sprawdzianów teoretycznych – 70 % oraz ocena za 2 prace własne – 30 %. Ocena ostateczna z przedmiotu: 0-50 % ocena 2, 51-65% ocena 3, 66-75% ocena 3+, 76-85% ocena 4, 86-95% ocena 4+, 96-100%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Foley J. D., van Dam A., Feiner S. K., Hughes J. F., Philips R. L.: Wprowadzenie do grafiki komputerowej,Warszawa, WNT 2001
2. Zimek R., Oberlan Ł.: ABC grafiki komputerowej, Helion 2005 
3. King J.A.: Grafika w sieci WWW. Proste rozwiązania, Warszawa, Mikom 2002
4. Świerk G., Madurski Ł.: Multimedia. Obróbka dźwięku i filmów, Helion 2004 
5. Materiały elektroniczne z zasobów Internetu na platformie e-knes.pw.plock.pl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www.knes.pw.plock.pl, e-knes.pw.plock.pl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W26: </w:t>
      </w:r>
    </w:p>
    <w:p>
      <w:pPr/>
      <w:r>
        <w:rPr/>
        <w:t xml:space="preserve">Ma wiedzę z zakresu przetwarzania obrazów rastrowych, dźwięków, plików filmowych oraz wykorzystania ich do publikacji w sieci lub prezentacjach interaktywnych.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 przetwarzać obrazy, dźwięki i pliki filmowe w celu ich wykorzystania w różnorodnych publikacjach.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samodzielne prace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K13: </w:t>
      </w:r>
    </w:p>
    <w:p>
      <w:pPr/>
      <w:r>
        <w:rPr/>
        <w:t xml:space="preserve">W przygotowaniu grafiki i multimediów stosuje posiadaną wiedzę, wykorzystując różnorodne, nowe narzędzia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prace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2026-10-01T15:49:19+02:00</dcterms:created>
  <dcterms:modified xsi:type="dcterms:W3CDTF">2026-10-01T15:49:19+02:00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