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Fraktale - podstawy matematyczne i zastosowania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Martyn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
przygotowanie do wykładów (przejrzenie slajdów, notatek, literatury): 13h
przygotowanie do sprawdzianów: 2x6h
praca nad projektem: 70h
Suma: 30 + 13 + 12 + 70 =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dowolnym języku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i technik geometrii fraktalnej oraz jej praktyczne wykorzystanie w zagadnieniach inżynierskich, w szczególności - grafice komputerowej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poświęcony, cieszącej się w ostatnich latach sporym zainteresowaniem, teorii fraktali. Główny nacisk wykładu kładziony jest na ukazanie zbiorów fraktalnych jako wynikających w naturalny sposób z ogólnie znanych pojęć i twierdzeń matematycznych. Z drugiej strony, wykład aspiruje do prezentacji idei matematycznych w sposób przystępny, wykorzystując w tym celu popularne obiekty jakimi są fraktale. Wydaje się bowiem, ze znajomość i intuicyjne rozumienie podstaw nowoczesnej matematyki stosowanej należy nie tylko do tzw. kultury matematycznej jaką winien posiadać absolwent wyższej uczelni technicznej, ale również wiedza taka jest niezbędna do rozwiązywania problemów powstających w praktycznej pracy inżyniera informatyka.
Na kolejnych jednostkach wykładowych są przedstawiane: elementy topologii metrycznej, oraz podstawy teorii miary, prawdopodobieństwa i wymiaru. Prezentowane idee teoretyczne są bogato ilustrowane praktycznymi zastosowaniami w nauce, ze szczególnym uwzględnieniem grafiki komputerowej, w tym realistycznej wizualizacji i modelowania zjawisk naturalnych.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określana jest na podstawie punktów uzyskanych na dwóch sprawdzianach oraz projektu programistycznego.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Barnsley M.F., Fractals Everywhere, Academic Press, 1988.
    Edgar G., Measure, Topology and Fractal Geometry, Springer-Verlag, 1990.
    Edgar G., Integral, Probability, and Fractal Measures, Springer-Verlag, 1998.
    Kudrewicz J., Fraktale i Chaos, wyd. 3, WNT, 1996.
    Martyn T., Fraktale i obiektowe algorytmy ich wizualizacji, NAKOM, 1996.
    Massopust P.R., Fractal Functions, Fractal Surfaces, and Wavelets, Academic Press, 1994.
    Peitgen H.-O., i inni, Fraktale, Granice Chaosu, PWN, 1995.
    Peitgen H.-O., Saupe, D., (red.), The Science of Fractal Images, Springer-Verlag,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http://eres.elka.pw.edu.pl/eres/wwersje$.startup?Z_ID_PRZEDMIOTU=FRAKT&amp;Z_NR_WERSJI=1&amp;Z_CHK=61866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FRAKT_W01: </w:t>
      </w:r>
    </w:p>
    <w:p>
      <w:pPr/>
      <w:r>
        <w:rPr/>
        <w:t xml:space="preserve">Posiada wiedzę na temat zasotosowania teorii fraktali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FRAKT_U01: </w:t>
      </w:r>
    </w:p>
    <w:p>
      <w:pPr/>
      <w:r>
        <w:rPr/>
        <w:t xml:space="preserve">Potrafi wykorzystywać obiekty fraktalne jako modele w realistycznej grafice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</w:t>
      </w:r>
    </w:p>
    <w:p>
      <w:pPr>
        <w:keepNext w:val="1"/>
        <w:spacing w:after="10"/>
      </w:pPr>
      <w:r>
        <w:rPr>
          <w:b/>
          <w:bCs/>
        </w:rPr>
        <w:t xml:space="preserve">Efekt FRAKT_U02: </w:t>
      </w:r>
    </w:p>
    <w:p>
      <w:pPr/>
      <w:r>
        <w:rPr/>
        <w:t xml:space="preserve">Potrafi stosować metody wizualizacji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FRAKT_K01: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FRAKT_K02: </w:t>
      </w:r>
    </w:p>
    <w:p>
      <w:pPr/>
      <w:r>
        <w:rPr/>
        <w:t xml:space="preserve">Potrafi samodzielnie pozyskiwać uzupełniające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2026-10-02T15:02:28+02:00</dcterms:created>
  <dcterms:modified xsi:type="dcterms:W3CDTF">2026-10-02T15:02:28+02:00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