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keepNext w:val="1"/>
        <w:spacing w:after="10"/>
      </w:pPr>
      <w:r>
        <w:rPr>
          <w:b/>
          <w:bCs/>
        </w:rPr>
        <w:t xml:space="preserve">Nazwa przedmiotu: </w:t>
      </w:r>
    </w:p>
    <w:p>
      <w:pPr>
        <w:spacing w:before="20" w:after="190"/>
      </w:pPr>
      <w:r>
        <w:rPr/>
        <w:t xml:space="preserve">Polityka społeczna Unii Europejskiej</w:t>
      </w:r>
    </w:p>
    <w:p>
      <w:pPr>
        <w:keepNext w:val="1"/>
        <w:spacing w:after="10"/>
      </w:pPr>
      <w:r>
        <w:rPr>
          <w:b/>
          <w:bCs/>
        </w:rPr>
        <w:t xml:space="preserve">Koordynator przedmiotu: </w:t>
      </w:r>
    </w:p>
    <w:p>
      <w:pPr>
        <w:spacing w:before="20" w:after="190"/>
      </w:pPr>
      <w:r>
        <w:rPr/>
        <w:t xml:space="preserve">dr Andrzej Papierowski</w:t>
      </w:r>
    </w:p>
    <w:p>
      <w:pPr>
        <w:keepNext w:val="1"/>
        <w:spacing w:after="10"/>
      </w:pPr>
      <w:r>
        <w:rPr>
          <w:b/>
          <w:bCs/>
        </w:rPr>
        <w:t xml:space="preserve">Status przedmiotu: </w:t>
      </w:r>
    </w:p>
    <w:p>
      <w:pPr>
        <w:spacing w:before="20" w:after="190"/>
      </w:pPr>
      <w:r>
        <w:rPr/>
        <w:t xml:space="preserve">Fakultatywny ograniczonego wyboru</w:t>
      </w:r>
    </w:p>
    <w:p>
      <w:pPr>
        <w:keepNext w:val="1"/>
        <w:spacing w:after="10"/>
      </w:pPr>
      <w:r>
        <w:rPr>
          <w:b/>
          <w:bCs/>
        </w:rPr>
        <w:t xml:space="preserve">Poziom kształcenia: </w:t>
      </w:r>
    </w:p>
    <w:p>
      <w:pPr>
        <w:spacing w:before="20" w:after="190"/>
      </w:pPr>
      <w:r>
        <w:rPr/>
        <w:t xml:space="preserve">Studia I stopnia</w:t>
      </w:r>
    </w:p>
    <w:p>
      <w:pPr>
        <w:keepNext w:val="1"/>
        <w:spacing w:after="10"/>
      </w:pPr>
      <w:r>
        <w:rPr>
          <w:b/>
          <w:bCs/>
        </w:rPr>
        <w:t xml:space="preserve">Program: </w:t>
      </w:r>
    </w:p>
    <w:p>
      <w:pPr>
        <w:spacing w:before="20" w:after="190"/>
      </w:pPr>
      <w:r>
        <w:rPr/>
        <w:t xml:space="preserve">Ekonomia</w:t>
      </w:r>
    </w:p>
    <w:p>
      <w:pPr>
        <w:keepNext w:val="1"/>
        <w:spacing w:after="10"/>
      </w:pPr>
      <w:r>
        <w:rPr>
          <w:b/>
          <w:bCs/>
        </w:rPr>
        <w:t xml:space="preserve">Grupa przedmiotów: </w:t>
      </w:r>
    </w:p>
    <w:p>
      <w:pPr>
        <w:spacing w:before="20" w:after="190"/>
      </w:pPr>
      <w:r>
        <w:rPr/>
        <w:t xml:space="preserve">Obieralne</w:t>
      </w:r>
    </w:p>
    <w:p>
      <w:pPr>
        <w:keepNext w:val="1"/>
        <w:spacing w:after="10"/>
      </w:pPr>
      <w:r>
        <w:rPr>
          <w:b/>
          <w:bCs/>
        </w:rPr>
        <w:t xml:space="preserve">Kod przedmiotu: </w:t>
      </w:r>
    </w:p>
    <w:p>
      <w:pPr>
        <w:spacing w:before="20" w:after="190"/>
      </w:pPr>
      <w:r>
        <w:rPr/>
        <w:t xml:space="preserve">KO 6.2/2</w:t>
      </w:r>
    </w:p>
    <w:p>
      <w:pPr>
        <w:keepNext w:val="1"/>
        <w:spacing w:after="10"/>
      </w:pPr>
      <w:r>
        <w:rPr>
          <w:b/>
          <w:bCs/>
        </w:rPr>
        <w:t xml:space="preserve">Semestr nominalny: </w:t>
      </w:r>
    </w:p>
    <w:p>
      <w:pPr>
        <w:spacing w:before="20" w:after="190"/>
      </w:pPr>
      <w:r>
        <w:rPr/>
        <w:t xml:space="preserve">2 / rok ak. 2012/2013</w:t>
      </w:r>
    </w:p>
    <w:p>
      <w:pPr>
        <w:keepNext w:val="1"/>
        <w:spacing w:after="10"/>
      </w:pPr>
      <w:r>
        <w:rPr>
          <w:b/>
          <w:bCs/>
        </w:rPr>
        <w:t xml:space="preserve">Liczba punktów ECTS: </w:t>
      </w:r>
    </w:p>
    <w:p>
      <w:pPr>
        <w:spacing w:before="20" w:after="190"/>
      </w:pPr>
      <w:r>
        <w:rPr/>
        <w:t xml:space="preserve">2</w:t>
      </w:r>
    </w:p>
    <w:p>
      <w:pPr>
        <w:keepNext w:val="1"/>
        <w:spacing w:after="10"/>
      </w:pPr>
      <w:r>
        <w:rPr>
          <w:b/>
          <w:bCs/>
        </w:rPr>
        <w:t xml:space="preserve">Liczba godzin pracy studenta związanych z osiągnięciem efektów uczenia się: </w:t>
      </w:r>
    </w:p>
    <w:p>
      <w:pPr>
        <w:spacing w:before="20" w:after="190"/>
      </w:pPr>
      <w:r>
        <w:rPr/>
        <w:t xml:space="preserve">50 (30 - wykłady; 5 - konsultacje, zaliczenia przedmiotu w innych terminach; 15 - praca własna studenta: przygotowanie do zaliczeń, przygotowanie do zajęć w tym zapoznanie z literaturą)
</w:t>
      </w:r>
    </w:p>
    <w:p>
      <w:pPr>
        <w:keepNext w:val="1"/>
        <w:spacing w:after="10"/>
      </w:pPr>
      <w:r>
        <w:rPr>
          <w:b/>
          <w:bCs/>
        </w:rPr>
        <w:t xml:space="preserve">Liczba punktów ECTS na zajęciach wymagających bezpośredniego udziału nauczycieli akademickich: </w:t>
      </w:r>
    </w:p>
    <w:p>
      <w:pPr>
        <w:spacing w:before="20" w:after="190"/>
      </w:pPr>
      <w:r>
        <w:rPr/>
        <w:t xml:space="preserve">I. wykłady - 1,2
II. konsultacje, zaliczenia przedmiotu w innych terminach - 0,2
</w:t>
      </w:r>
    </w:p>
    <w:p>
      <w:pPr>
        <w:keepNext w:val="1"/>
        <w:spacing w:after="10"/>
      </w:pPr>
      <w:r>
        <w:rPr>
          <w:b/>
          <w:bCs/>
        </w:rPr>
        <w:t xml:space="preserve">Język prowadzenia zajęć: </w:t>
      </w:r>
    </w:p>
    <w:p>
      <w:pPr>
        <w:spacing w:before="20" w:after="190"/>
      </w:pPr>
      <w:r>
        <w:rPr/>
        <w:t xml:space="preserve">polski</w:t>
      </w:r>
    </w:p>
    <w:p>
      <w:pPr>
        <w:keepNext w:val="1"/>
        <w:spacing w:after="10"/>
      </w:pPr>
      <w:r>
        <w:rPr>
          <w:b/>
          <w:bCs/>
        </w:rPr>
        <w:t xml:space="preserve">Liczba punktów ECTS, którą student uzyskuje w ramach zajęć o charakterze praktycznym: </w:t>
      </w:r>
    </w:p>
    <w:p>
      <w:pPr>
        <w:spacing w:before="20" w:after="190"/>
      </w:pPr>
      <w:r>
        <w:rPr/>
        <w:t xml:space="preserve">0</w:t>
      </w:r>
    </w:p>
    <w:p>
      <w:pPr>
        <w:keepNext w:val="1"/>
        <w:spacing w:after="10"/>
      </w:pPr>
      <w:r>
        <w:rPr>
          <w:b/>
          <w:bCs/>
        </w:rPr>
        <w:t xml:space="preserve">Formy zajęć i ich wymiar w semestrze: </w:t>
      </w:r>
    </w:p>
    <w:tbl>
      <w:tblGrid>
        <w:gridCol w:w="2200" w:type="dxa"/>
        <w:gridCol w:w="2200" w:type="dxa"/>
      </w:tblGrid>
      <w:tblPr>
        <w:tblW w:w="2500" w:type="auto"/>
        <w:tblBorders>
          <w:top w:val="single" w:sz="0" w:color="FFFFFF"/>
          <w:left w:val="single" w:sz="0" w:color="FFFFFF"/>
          <w:right w:val="single" w:sz="0" w:color="FFFFFF"/>
          <w:bottom w:val="single" w:sz="0" w:color="FFFFFF"/>
          <w:insideH w:val="single" w:sz="0" w:color="FFFFFF"/>
          <w:insideV w:val="single" w:sz="0" w:color="FFFFFF"/>
        </w:tblBorders>
      </w:tblPr>
      <w:tr>
        <w:trPr>
          <w:trHeight w:val="250" w:hRule="atLeast"/>
        </w:trPr>
        <w:tc>
          <w:tcPr>
            <w:tcW w:w="2200" w:type="dxa"/>
          </w:tcPr>
          <w:p>
            <w:pPr/>
            <w:r>
              <w:rPr/>
              <w:t xml:space="preserve">Wykład: </w:t>
            </w:r>
          </w:p>
        </w:tc>
        <w:tc>
          <w:tcPr>
            <w:tcW w:w="2200" w:type="dxa"/>
          </w:tcPr>
          <w:p>
            <w:pPr/>
            <w:r>
              <w:rPr/>
              <w:t xml:space="preserve">30h</w:t>
            </w:r>
          </w:p>
        </w:tc>
      </w:tr>
      <w:tr>
        <w:trPr>
          <w:trHeight w:val="250" w:hRule="atLeast"/>
        </w:trPr>
        <w:tc>
          <w:tcPr>
            <w:tcW w:w="2200" w:type="dxa"/>
          </w:tcPr>
          <w:p>
            <w:pPr/>
            <w:r>
              <w:rPr/>
              <w:t xml:space="preserve">Ćwiczenia: </w:t>
            </w:r>
          </w:p>
        </w:tc>
        <w:tc>
          <w:tcPr>
            <w:tcW w:w="2200" w:type="dxa"/>
          </w:tcPr>
          <w:p>
            <w:pPr/>
            <w:r>
              <w:rPr/>
              <w:t xml:space="preserve">0h</w:t>
            </w:r>
          </w:p>
        </w:tc>
      </w:tr>
      <w:tr>
        <w:trPr>
          <w:trHeight w:val="250" w:hRule="atLeast"/>
        </w:trPr>
        <w:tc>
          <w:tcPr>
            <w:tcW w:w="2200" w:type="dxa"/>
          </w:tcPr>
          <w:p>
            <w:pPr/>
            <w:r>
              <w:rPr/>
              <w:t xml:space="preserve">Laboratorium: </w:t>
            </w:r>
          </w:p>
        </w:tc>
        <w:tc>
          <w:tcPr>
            <w:tcW w:w="2200" w:type="dxa"/>
          </w:tcPr>
          <w:p>
            <w:pPr/>
            <w:r>
              <w:rPr/>
              <w:t xml:space="preserve">0h</w:t>
            </w:r>
          </w:p>
        </w:tc>
      </w:tr>
      <w:tr>
        <w:trPr>
          <w:trHeight w:val="250" w:hRule="atLeast"/>
        </w:trPr>
        <w:tc>
          <w:tcPr>
            <w:tcW w:w="2200" w:type="dxa"/>
          </w:tcPr>
          <w:p>
            <w:pPr/>
            <w:r>
              <w:rPr/>
              <w:t xml:space="preserve">Projekt: </w:t>
            </w:r>
          </w:p>
        </w:tc>
        <w:tc>
          <w:tcPr>
            <w:tcW w:w="2200" w:type="dxa"/>
          </w:tcPr>
          <w:p>
            <w:pPr/>
            <w:r>
              <w:rPr/>
              <w:t xml:space="preserve">0h</w:t>
            </w:r>
          </w:p>
        </w:tc>
      </w:tr>
      <w:tr>
        <w:trPr>
          <w:trHeight w:val="250" w:hRule="atLeast"/>
        </w:trPr>
        <w:tc>
          <w:tcPr>
            <w:tcW w:w="2200" w:type="dxa"/>
          </w:tcPr>
          <w:p>
            <w:pPr/>
            <w:r>
              <w:rPr/>
              <w:t xml:space="preserve">Lekcje komputerowe: </w:t>
            </w:r>
          </w:p>
        </w:tc>
        <w:tc>
          <w:tcPr>
            <w:tcW w:w="2200" w:type="dxa"/>
          </w:tcPr>
          <w:p>
            <w:pPr/>
            <w:r>
              <w:rPr/>
              <w:t xml:space="preserve">0h</w:t>
            </w:r>
          </w:p>
        </w:tc>
      </w:tr>
    </w:tbl>
    <w:p/>
    <w:p>
      <w:pPr>
        <w:keepNext w:val="1"/>
        <w:spacing w:after="10"/>
      </w:pPr>
      <w:r>
        <w:rPr>
          <w:b/>
          <w:bCs/>
        </w:rPr>
        <w:t xml:space="preserve">Wymagania wstępne: </w:t>
      </w:r>
    </w:p>
    <w:p>
      <w:pPr>
        <w:spacing w:before="20" w:after="190"/>
      </w:pPr>
      <w:r>
        <w:rPr/>
        <w:t xml:space="preserve">brak</w:t>
      </w:r>
    </w:p>
    <w:p>
      <w:pPr>
        <w:keepNext w:val="1"/>
        <w:spacing w:after="10"/>
      </w:pPr>
      <w:r>
        <w:rPr>
          <w:b/>
          <w:bCs/>
        </w:rPr>
        <w:t xml:space="preserve">Limit liczby studentów: </w:t>
      </w:r>
    </w:p>
    <w:p>
      <w:pPr>
        <w:spacing w:before="20" w:after="190"/>
      </w:pPr>
      <w:r>
        <w:rPr/>
        <w:t xml:space="preserve">Wykład min. 15</w:t>
      </w:r>
    </w:p>
    <w:p>
      <w:pPr>
        <w:keepNext w:val="1"/>
        <w:spacing w:after="10"/>
      </w:pPr>
      <w:r>
        <w:rPr>
          <w:b/>
          <w:bCs/>
        </w:rPr>
        <w:t xml:space="preserve">Cel przedmiotu: </w:t>
      </w:r>
    </w:p>
    <w:p>
      <w:pPr>
        <w:spacing w:before="20" w:after="190"/>
      </w:pPr>
      <w:r>
        <w:rPr/>
        <w:t xml:space="preserve">Celem jest zapoznanie z działalnością podmiotów Unii Europejskiej, państw członkowskich, samorządów i organizacji pozarządowych nakierowanych na poprawę warunków pracy i życia obywateli UE. Celem nauczania jest również zapoznanie studentów ze sposobami realizacji tych założeń przez państwa członkowskie, kształcenie umiejętności i zakresu samodzielnej analizy i oceny tychże działań.
</w:t>
      </w:r>
    </w:p>
    <w:p>
      <w:pPr>
        <w:keepNext w:val="1"/>
        <w:spacing w:after="10"/>
      </w:pPr>
      <w:r>
        <w:rPr>
          <w:b/>
          <w:bCs/>
        </w:rPr>
        <w:t xml:space="preserve">Treści kształcenia: </w:t>
      </w:r>
    </w:p>
    <w:p>
      <w:pPr>
        <w:spacing w:before="20" w:after="190"/>
      </w:pPr>
      <w:r>
        <w:rPr/>
        <w:t xml:space="preserve">Wykłady:
1. Wprowadzenie. 
2. Idea socjalna w Europie po zawarciu traktatu w Maastricht. 
3. Wartości socjalne w Unii Europejskiej. 
4. Modele polityki społecznej w Unii Europejskiej.
5. Organizacja polityki społecznej w Unii.
6. Ustawodawstwo socjalne w Unii (wybrane problemy). 
7. Prognozy socjalne (na lata 1995-97, 1998-2000, 2000-2005, 2006-2013).
8. Instrumenty finansowe Unii Europejskiej (Fundusze strukturalne). 
9. Wybrane polityki szczegółowe polityki społecznej Unii Europejskiej. 
9.1. Polityka ludnościowa. 
9.2. Polityka zatrudnienia. 
9.3. Polityka edukacyjna. 
9.4. Polityka równych szans. 
9.5. Polityka ochrony zdrowia.
9.6. Zabezpieczenie społeczne. 
10. Przyszłość polityki społecznej w zintegrowanej Europie.
</w:t>
      </w:r>
    </w:p>
    <w:p>
      <w:pPr>
        <w:keepNext w:val="1"/>
        <w:spacing w:after="10"/>
      </w:pPr>
      <w:r>
        <w:rPr>
          <w:b/>
          <w:bCs/>
        </w:rPr>
        <w:t xml:space="preserve">Metody oceny: </w:t>
      </w:r>
    </w:p>
    <w:p>
      <w:pPr>
        <w:spacing w:before="20" w:after="190"/>
      </w:pPr>
      <w:r>
        <w:rPr/>
        <w:t xml:space="preserve">Warunkiem zaliczenia przedmiotu jest uzyskanie oceny w skali 3 do 5 z dwóch kolokwiów pisemnych, przeprowadzonych w uzgodnionym ze studentami terminie. Prowadzący przedmiot uprzednio informuje studentów o zasadach oceny wymaganego materiału. Warunkiem zaliczenia jest znajomość przynajmniej 60% wymaganego materiału.
</w:t>
      </w:r>
    </w:p>
    <w:p>
      <w:pPr>
        <w:keepNext w:val="1"/>
        <w:spacing w:after="10"/>
      </w:pPr>
      <w:r>
        <w:rPr>
          <w:b/>
          <w:bCs/>
        </w:rPr>
        <w:t xml:space="preserve">Egzamin: </w:t>
      </w:r>
    </w:p>
    <w:p>
      <w:pPr>
        <w:spacing w:before="20" w:after="190"/>
      </w:pPr>
      <w:r>
        <w:rPr/>
        <w:t xml:space="preserve">nie</w:t>
      </w:r>
    </w:p>
    <w:p>
      <w:pPr>
        <w:keepNext w:val="1"/>
        <w:spacing w:after="10"/>
      </w:pPr>
      <w:r>
        <w:rPr>
          <w:b/>
          <w:bCs/>
        </w:rPr>
        <w:t xml:space="preserve">Literatura: </w:t>
      </w:r>
    </w:p>
    <w:p>
      <w:pPr>
        <w:spacing w:before="20" w:after="190"/>
      </w:pPr>
      <w:r>
        <w:rPr/>
        <w:t xml:space="preserve">1. Auleytner J. (red.) Polityka społeczna, stan i perspektywy. Wyższa Szkoła Pedagogiczna, Warszawa 1995.
2. Europejska Karta Społeczna
3. Frąckiewicz L., Polityka społeczna Katowice 1998.
4. Jarosz A., 2000, Polityka społeczna. PWSZ, Jarosław.
5. Podolski K., Turnowiecki W., 1998, Polityka społeczna, Wyd. Uniwersytet Gdański, Gdańsk 1998.
6. B. WOŚ, Rozwój regionów i polityka regionalna w Unii Europejskiej oraz w Polsce. Wyd. Oficyna Wydawnicza Politechniki Wrocławskiej. Wrocław 2005.
7. A. Z. NOWAK, Fundusze strukturalne Unii Europejskiej jako czynnik mobilizacji gospodarki polskiej [w:] Regionalizm, polityka regionalna i Fundusze Strukturalne w Unii Europejskiej. Warszawa 2005.
</w:t>
      </w:r>
    </w:p>
    <w:p>
      <w:pPr>
        <w:keepNext w:val="1"/>
        <w:spacing w:after="10"/>
      </w:pPr>
      <w:r>
        <w:rPr>
          <w:b/>
          <w:bCs/>
        </w:rPr>
        <w:t xml:space="preserve">Witryna www przedmiotu: </w:t>
      </w:r>
    </w:p>
    <w:p>
      <w:pPr>
        <w:spacing w:before="20" w:after="190"/>
      </w:pPr>
      <w:r>
        <w:rPr/>
        <w:t xml:space="preserve">www.knes.pw.plock.pl</w:t>
      </w:r>
    </w:p>
    <w:p>
      <w:pPr>
        <w:keepNext w:val="1"/>
        <w:spacing w:after="10"/>
      </w:pPr>
      <w:r>
        <w:rPr>
          <w:b/>
          <w:bCs/>
        </w:rPr>
        <w:t xml:space="preserve">Uwagi: </w:t>
      </w:r>
    </w:p>
    <w:p>
      <w:pPr>
        <w:spacing w:before="20" w:after="190"/>
      </w:pPr>
      <w:r>
        <w:rPr/>
        <w:t xml:space="preserve">-</w:t>
      </w:r>
    </w:p>
    <w:p>
      <w:pPr>
        <w:pStyle w:val="Heading2"/>
      </w:pPr>
      <w:bookmarkStart w:id="1" w:name="_Toc1"/>
      <w:r>
        <w:t>Efekty przedmiotowe</w:t>
      </w:r>
      <w:bookmarkEnd w:id="1"/>
    </w:p>
    <w:p>
      <w:pPr>
        <w:pStyle w:val="Heading3"/>
      </w:pPr>
      <w:bookmarkStart w:id="2" w:name="_Toc2"/>
      <w:r>
        <w:t>Profil ogólnoakademicki - wiedza</w:t>
      </w:r>
      <w:bookmarkEnd w:id="2"/>
    </w:p>
    <w:p>
      <w:pPr>
        <w:keepNext w:val="1"/>
        <w:spacing w:after="10"/>
      </w:pPr>
      <w:r>
        <w:rPr>
          <w:b/>
          <w:bCs/>
        </w:rPr>
        <w:t xml:space="preserve">Efekt W04: </w:t>
      </w:r>
    </w:p>
    <w:p>
      <w:pPr/>
      <w:r>
        <w:rPr/>
        <w:t xml:space="preserve">Ma wiedzę na temat zadań, organizacji realizacji polityki społecznej w Unii.</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K_W04</w:t>
      </w:r>
    </w:p>
    <w:p>
      <w:pPr>
        <w:spacing w:before="20" w:after="190"/>
      </w:pPr>
      <w:r>
        <w:rPr>
          <w:b/>
          <w:bCs/>
        </w:rPr>
        <w:t xml:space="preserve">Powiązane efekty obszarowe: </w:t>
      </w:r>
      <w:r>
        <w:rPr/>
        <w:t xml:space="preserve">S1A_W04</w:t>
      </w:r>
    </w:p>
    <w:p>
      <w:pPr>
        <w:keepNext w:val="1"/>
        <w:spacing w:after="10"/>
      </w:pPr>
      <w:r>
        <w:rPr>
          <w:b/>
          <w:bCs/>
        </w:rPr>
        <w:t xml:space="preserve">Efekt W06: </w:t>
      </w:r>
    </w:p>
    <w:p>
      <w:pPr/>
      <w:r>
        <w:rPr/>
        <w:t xml:space="preserve">Ma wiedzę dotyczącą poziomu realizacji polityki społecznej w poszczególnych państwach Unii.</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K_W06</w:t>
      </w:r>
    </w:p>
    <w:p>
      <w:pPr>
        <w:spacing w:before="20" w:after="190"/>
      </w:pPr>
      <w:r>
        <w:rPr>
          <w:b/>
          <w:bCs/>
        </w:rPr>
        <w:t xml:space="preserve">Powiązane efekty obszarowe: </w:t>
      </w:r>
      <w:r>
        <w:rPr/>
        <w:t xml:space="preserve">S1A_W05</w:t>
      </w:r>
    </w:p>
    <w:p>
      <w:pPr>
        <w:keepNext w:val="1"/>
        <w:spacing w:after="10"/>
      </w:pPr>
      <w:r>
        <w:rPr>
          <w:b/>
          <w:bCs/>
        </w:rPr>
        <w:t xml:space="preserve">Efekt W12: </w:t>
      </w:r>
    </w:p>
    <w:p>
      <w:pPr/>
      <w:r>
        <w:rPr/>
        <w:t xml:space="preserve">Zna historyczne uwarunkowania możliwości realizacji polityki społecznej w krajach Unii Europejskiej.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K_W12</w:t>
      </w:r>
    </w:p>
    <w:p>
      <w:pPr>
        <w:spacing w:before="20" w:after="190"/>
      </w:pPr>
      <w:r>
        <w:rPr>
          <w:b/>
          <w:bCs/>
        </w:rPr>
        <w:t xml:space="preserve">Powiązane efekty obszarowe: </w:t>
      </w:r>
      <w:r>
        <w:rPr/>
        <w:t xml:space="preserve">S1A_W09</w:t>
      </w:r>
    </w:p>
    <w:p>
      <w:pPr>
        <w:pStyle w:val="Heading3"/>
      </w:pPr>
      <w:bookmarkStart w:id="3" w:name="_Toc3"/>
      <w:r>
        <w:t>Profil ogólnoakademicki - umiejętności</w:t>
      </w:r>
      <w:bookmarkEnd w:id="3"/>
    </w:p>
    <w:p>
      <w:pPr>
        <w:keepNext w:val="1"/>
        <w:spacing w:after="10"/>
      </w:pPr>
      <w:r>
        <w:rPr>
          <w:b/>
          <w:bCs/>
        </w:rPr>
        <w:t xml:space="preserve">Efekt U03: </w:t>
      </w:r>
    </w:p>
    <w:p>
      <w:pPr/>
      <w:r>
        <w:rPr/>
        <w:t xml:space="preserve">Wykorzystuje wiedzę teoretyczną z zakresu nauk ekonomicznych w rozwiązywaniu problemów społecznych Unii Europejskiej.</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K_U03</w:t>
      </w:r>
    </w:p>
    <w:p>
      <w:pPr>
        <w:spacing w:before="20" w:after="190"/>
      </w:pPr>
      <w:r>
        <w:rPr>
          <w:b/>
          <w:bCs/>
        </w:rPr>
        <w:t xml:space="preserve">Powiązane efekty obszarowe: </w:t>
      </w:r>
      <w:r>
        <w:rPr/>
        <w:t xml:space="preserve">S1A_U02</w:t>
      </w:r>
    </w:p>
    <w:p>
      <w:pPr>
        <w:keepNext w:val="1"/>
        <w:spacing w:after="10"/>
      </w:pPr>
      <w:r>
        <w:rPr>
          <w:b/>
          <w:bCs/>
        </w:rPr>
        <w:t xml:space="preserve">Efekt U17: </w:t>
      </w:r>
    </w:p>
    <w:p>
      <w:pPr/>
      <w:r>
        <w:rPr/>
        <w:t xml:space="preserve">Potrafi ocenić społeczne skutki decyzji gospodarczych i politycznych podejmowanych w krajach Unii wraz z ich uzasadnieniem.</w:t>
      </w:r>
    </w:p>
    <w:p>
      <w:pPr>
        <w:spacing w:before="60"/>
      </w:pPr>
      <w:r>
        <w:rPr/>
        <w:t xml:space="preserve">Weryfikacja: </w:t>
      </w:r>
    </w:p>
    <w:p>
      <w:pPr>
        <w:spacing w:before="20" w:after="190"/>
      </w:pPr>
      <w:r>
        <w:rPr/>
        <w:t xml:space="preserve">kolokwium I, II</w:t>
      </w:r>
    </w:p>
    <w:p>
      <w:pPr>
        <w:spacing w:before="20" w:after="190"/>
      </w:pPr>
      <w:r>
        <w:rPr>
          <w:b/>
          <w:bCs/>
        </w:rPr>
        <w:t xml:space="preserve">Powiązane efekty kierunkowe: </w:t>
      </w:r>
      <w:r>
        <w:rPr/>
        <w:t xml:space="preserve">K_U17</w:t>
      </w:r>
    </w:p>
    <w:p>
      <w:pPr>
        <w:spacing w:before="20" w:after="190"/>
      </w:pPr>
      <w:r>
        <w:rPr>
          <w:b/>
          <w:bCs/>
        </w:rPr>
        <w:t xml:space="preserve">Powiązane efekty obszarowe: </w:t>
      </w:r>
      <w:r>
        <w:rPr/>
        <w:t xml:space="preserve">S1A_U08</w:t>
      </w:r>
    </w:p>
    <w:p>
      <w:pPr>
        <w:pStyle w:val="Heading3"/>
      </w:pPr>
      <w:bookmarkStart w:id="4" w:name="_Toc4"/>
      <w:r>
        <w:t>Profil ogólnoakademicki - kompetencje społeczne</w:t>
      </w:r>
      <w:bookmarkEnd w:id="4"/>
    </w:p>
    <w:p>
      <w:pPr>
        <w:keepNext w:val="1"/>
        <w:spacing w:after="10"/>
      </w:pPr>
      <w:r>
        <w:rPr>
          <w:b/>
          <w:bCs/>
        </w:rPr>
        <w:t xml:space="preserve">Efekt K07: </w:t>
      </w:r>
    </w:p>
    <w:p>
      <w:pPr/>
      <w:r>
        <w:rPr/>
        <w:t xml:space="preserve">Samodzielnie ocenia skutki realizowania polityki społecznej Unii Europejskiej, prezentuje swoje poglądy wraz z argumentacją.</w:t>
      </w:r>
    </w:p>
    <w:p>
      <w:pPr>
        <w:spacing w:before="60"/>
      </w:pPr>
      <w:r>
        <w:rPr/>
        <w:t xml:space="preserve">Weryfikacja: </w:t>
      </w:r>
    </w:p>
    <w:p>
      <w:pPr>
        <w:spacing w:before="20" w:after="190"/>
      </w:pPr>
      <w:r>
        <w:rPr/>
        <w:t xml:space="preserve">kolokwium I i II, możliwość dyskusji</w:t>
      </w:r>
    </w:p>
    <w:p>
      <w:pPr>
        <w:spacing w:before="20" w:after="190"/>
      </w:pPr>
      <w:r>
        <w:rPr>
          <w:b/>
          <w:bCs/>
        </w:rPr>
        <w:t xml:space="preserve">Powiązane efekty kierunkowe: </w:t>
      </w:r>
      <w:r>
        <w:rPr/>
        <w:t xml:space="preserve">K_K07</w:t>
      </w:r>
    </w:p>
    <w:p>
      <w:pPr>
        <w:spacing w:before="20" w:after="190"/>
      </w:pPr>
      <w:r>
        <w:rPr>
          <w:b/>
          <w:bCs/>
        </w:rPr>
        <w:t xml:space="preserve">Powiązane efekty obszarowe: </w:t>
      </w:r>
      <w:r>
        <w:rPr/>
        <w:t xml:space="preserve">S1A_K06</w:t>
      </w:r>
    </w:p>
    <w:sectPr>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s>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2">
    <w:link w:val="Heading2Char"/>
    <w:name w:val="heading 2"/>
    <w:basedOn w:val="Normal"/>
    <w:pPr>
      <w:spacing w:before="40" w:after="190"/>
    </w:pPr>
    <w:rPr>
      <w:sz w:val="34"/>
      <w:szCs w:val="34"/>
      <w:b/>
      <w:bCs/>
    </w:rPr>
  </w:style>
  <w:style w:type="paragraph" w:styleId="Heading3">
    <w:link w:val="Heading3Char"/>
    <w:name w:val="heading 3"/>
    <w:basedOn w:val="Normal"/>
    <w:pPr>
      <w:spacing w:before="40" w:after="190"/>
    </w:pPr>
    <w:rPr>
      <w:sz w:val="26"/>
      <w:szCs w:val="26"/>
      <w:b/>
      <w:bCs/>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2026-10-02T22:06:29+02:00</dcterms:created>
  <dcterms:modified xsi:type="dcterms:W3CDTF">2026-10-02T22:06:29+02:00</dcterms:modified>
</cp:coreProperties>
</file>

<file path=docProps/custom.xml><?xml version="1.0" encoding="utf-8"?>
<Properties xmlns="http://schemas.openxmlformats.org/officeDocument/2006/custom-properties" xmlns:vt="http://schemas.openxmlformats.org/officeDocument/2006/docPropsVTypes"/>
</file>