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integrujący (konstrukcja-materiały-technologia-aerodynamika)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J. Rokicki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NK497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Liczba godzin kontaktowych: 100, w tym:
a)	projekt – 75 –godz.
b)	konsultacje – 25 godz.
Praca własna studenta – 100 godzin, w tym:
a)	40 godz. – przygotowywanie się do zajęć projektowych,
b)	60 godz. – przygotowanie wkładu do projektu grupowego
Razem: ok. 200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 ECTS, Liczba godzin kontaktowych: 100, w tym:
a)	projekt – 75 –godz.
b)	konsultacje – 25 godz.	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8 ECTS - 200 godzin pracy studenta, w tym: 
a) projekt i konsultacje - 100 godzin;
b) przygotowywanie się do projektu grupowego i zajęć projektowych- 100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na poziomie inżynierskim w zakresie Wytrzymałości Materiałów, Mechaniki Płynów, Wymiany ciepła, Podstaw Konstrukcji Maszyn, Technik Wytwarzania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12-osobowe grupy projektowe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Integracja wiedzy i umiejętności studentów w zakresie przedmiotów podstawowych i kierunkowych. Nabycie umiejętności pracy w grupie. Zdobycie szerszej perspektywy w zakresie projektowania inżynierskiego.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Przygotowanie projektu wieloaspektowego i o znacznym stopniu złożoności. Uwzględnienie wielodyscyplinarne charakter tematu i podejście grupowe. Aspekty ekonomiczne i prawne działalności inżynierskiej. Wykorzystanie metod symulacyjnych w trakcie prac projektowych.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bieżącej pracy w trakcie zajęć projektowych. Ocena całego projektu. Ocena indywidualnego wkładu do projektu. Ocena indywidualnej prezentacji projektowej.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Dodatkowa lektura dostosowana do konkretnej tematyki wykonywanego projektu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Zna podstawowe działy inżyneirii mechanicznej i wie jak powiązać fakty z różnych jej obszarów							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MiBM2_W01, MiBM2_W02, MiBM2_W03, MiBM2_W04, MiBM2_W06, MiBM2_W07, MiBM2_W08, MiBM2_W09, MiBM2_W10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T2A_W07, T2A_W03, T2A_W07, T2A_W03, T2A_W07, T2A_W02, T2A_W03, T2A_W06, T2A_W07, T2A_W04, T2A_W05, T2A_W06, T2A_W07, T2A_W04, T2A_W05, T2A_W07, T2A_W06,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Potrafi integrować posiadaną wiedzę i umiejętności także poza inżynierskie projektując złożone urządzenie techniczne								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MiBM2_U01, MiBM2_U02, MiBM2_U04, MiBM2_U05, MiBM2_U06, MiBM2_U07, MiBM2_U12, MiBM2_U13, MiBM2_U14, MiBM2_U15, MiBM2_U16, MiBM2_U18, MiBM2_U19, MiBM2_U21, MiBM2_U22, MiBM2_U23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T2A_U04, T2A_U05, T2A_U10, T2A_U15, T2A_U07, T2A_U08, T2A_U09, T2A_U08, T2A_U09, T2A_U10, T2A_U11, T2A_U14, T2A_U14, T2A_U15, T2A_U17, T2A_U18,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EK1: </w:t>
      </w:r>
    </w:p>
    <w:p>
      <w:pPr/>
      <w:r>
        <w:rPr/>
        <w:t xml:space="preserve">Umiejętność pracy grupowej i gotowość dostrzegania pozatechnicznych aspektów projektu 							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bieżąca 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MBiM2_K02, MBiM2_K03, MBiM2_K04, MBiM2_K06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2025-05-03T03:39:34+02:00</dcterms:created>
  <dcterms:modified xsi:type="dcterms:W3CDTF">2025-05-03T03:39:34+02:00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