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Wyznaczony przez kierownika specjalności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TR.SMK206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167 godzin, w tym: praca na zajęciach projektowych: 60 godz., studiowanie literatury w zakresie wymaganym do realizacji pracy projektowej/badawczej: 26 godz., dodatkowe konsultacje związane z uzgadnianiem zakresu oraz metody prowadzenia badań: 5 godz., obrona pracy projektowej/badawczej: 1 godz., samodzielne przygotowanie pracy projektowej/badawczej: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pkt. ECTS (66 godzin, w tym:: praca na zajęciach projektowych: 60 godz., dodatkowe konsultacje związane z uzgadnianiem zakresu oraz metody prowadzenia badań: 5 godz., obrona pracy projektowej/badawczej: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6,0 pkt. ECTS (167 godzin, w tym:: praca na zajęciach projektowych: 60 godz., studiowanie literatury w zakresie wymaganym do realizacji pracy projektowej/badawczej: 26 godz., dodatkowe konsultacje związane z uzgadnianiem zakresu oraz metody prowadzenia badań: 5 godz., obrona pracy projektowej/badawczej: 1 godz., samodzielne przygotowanie pracy projektowej/badawczej: 75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studiowanej specjalności, w tym znajomość zagadnień teoretycznych dotyczących prowadzenia badań oraz projektowania systemów sterowania ruchem, procesów obsługi transportowej lub logistycznej albo procesów, obiektów lub urządzeń obsługi technicznej środków transportu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 wykonywania zaawansowanych prac projektowych lub badawczych oraz krytycznej analizy działania istniejących lub projektowanych systemów i obiektów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Zasady wykonania zleconej pracy projektowej lub pomiarów, badań itp. zależne od specjalności oraz wyboru tematu pracy projektowej/badawczej.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monitorowanie i ocena postępów w realizacji zleconej studentowi pracy projektowej/badawczej
oraz wskazywanie i omawianie popełnianych błędów, ocena podsumowująca: obrona pracy projektowej/badawczej.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Zależy od studiowanej specjalności oraz zleconej studentowi pracy projektowej/badawczej.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Na poszczególnych specjalnościach oferowane są możliwości wyboru tematów realizowanych na przedmiocie prac projektowych/badawczych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Zna podstawowe metody, techniki, narzędzia i materiały stosowane przy rozwiązywaniu złożonych zadań inżynierskich stanowiących przedmiot zleconej pracy projektowej/badawczej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przyjętej metody badawczej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- zgodnie z zadaną specyfikacją, uwzględniającą aspekty pozatechniczne - zaprojektować złożone urządzenie, obiekt, system, usługę lub proces stanowiące przedmiot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opracowanych rozwiązań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Tr2A_U21, Tr2A_U20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T2A_U19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Potrafi, uwzględniając także aspekty pozatechniczne, dokonać identyfikacji i sformułować specyfikację złożonego zadania inżynierskiego stanowiącego przedmiot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sformułowania problemu badawczego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Tr2A_U17, Tr2A_U16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T2A_U17, T2A_U17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wykorzystać metody optymalizacji, metody analityczne, symulacyjne oraz eksperymentalne do formułowania i rozwiązywania zadań inżynierskich i prostych problemów badawczych właściwych dla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poprawności zastosowanych metod badawczych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Tr2A_U07, Tr2A_U06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T2A_U09</w:t>
      </w:r>
    </w:p>
    <w:p>
      <w:pPr>
        <w:keepNext w:val="1"/>
        <w:spacing w:after="10"/>
      </w:pPr>
      <w:r>
        <w:rPr>
          <w:b/>
          <w:bCs/>
        </w:rPr>
        <w:t xml:space="preserve">Efekt U_04: </w:t>
      </w:r>
    </w:p>
    <w:p>
      <w:pPr/>
      <w:r>
        <w:rPr/>
        <w:t xml:space="preserve">Potrafi właściwie dobrać literaturę, w tym zagraniczną, oraz właściwe z niej skorzystać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doboru oraz znajomości literatury istotnej ze względu na realizowany temat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U_05: </w:t>
      </w:r>
    </w:p>
    <w:p>
      <w:pPr/>
      <w:r>
        <w:rPr/>
        <w:t xml:space="preserve">Potrafi zaproponować usprawnienia rozwiązań technicznych stanowiących przedmiot realizowanej pracy projektowej/badawczej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krytycznej analizy istniejących rozwiązań technicznych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Potrafi opracować konkurencyjne rozwiązanie projektowe, wskazać wady stosowanych rozwiązań technicznych i organizacyjnych oraz zaproponować ich usprawnienia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projektowej/badawczej, weryfikacja przyjętych rozwiązań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2025-05-11T05:53:54+02:00</dcterms:created>
  <dcterms:modified xsi:type="dcterms:W3CDTF">2025-05-11T05:53:54+02:00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