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VI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Gadomski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NK368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35, w tym:
a) 30 godz. - projekt
b) 5 godz. - konsultacje
2. Praca własna studenta: 15 godz., w tym:
a) 15 godz. - praca nad przygotowaniem projektu konstrukcyjnego
3. Razem - 50 godzin =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punktu ECTS - liczba godzin kontaktowych: 35, w tym:
a) 30 godz. - projekt
b) 5 godz. -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punktu ECTS - 45 godz., w tym  a) uczestnictwo w zajęciach projektowych - 30 godz.
b) 15 godz. pracy własnej - przygotowanie projektu konstrukcyjnego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Wytrzymałość Konstrukcji II, Materiały I, Materiały lotnicze, Techniki Wytwarzania II, Podstawy Konstrukcji Maszyn III, Zapis Konstrukcji CAD II, Zintegrowane systemy CAD/CAM/CAE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studentów zasad wykonywania projektów konstrukcyjno-obliczeniowych podzespołów lotniczych lub układów napędowych. Student nabywa umiejętności samodzielnego przeprowadzenia procesu konstruowania zakończonego wykonaniem dokumentacji rysunkowej urządzenia oraz obliczeń w zakresie mechaniki i wytrzymałości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Między innymi projekty podzespołów statków latających. Kształtowanie elementów urządzenia oraz połączeń między nimi. Dobór materiałów. Obliczenia kinematyki, statyki i wytrzymałości elementów urządzenia. Wykonanie w systemie CAD rysunku złożeniowego podzespołu i rysunków warsztatowych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Dyskusja w czasie zajęć
2. Sprawdzenie i ocena oddanej w ściśle określonym terminie dokumentacji rysunkowej i obliczeniowej
3. Omówienie z prowadzącym sprawdzonego projektu – analiza błędów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Podstawy konstrukcji maszyn, praca zbiorowa pod redakcją M.Dietricha, WNT; 2. L.W. Kurmaz, Projektowanie węzłów i części maszyn, Wydawnictwo Politechniki Świętokrzyskiej; 3. Poradnik Mechanika; 4. Katalog Łożysk Tocznych; 5. Materiały dostarczone przez wykładowcę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Zna zasady doboru materiałów konstrukcyjnych w procesie projektowania maszyn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T1A_W06, T1A_W07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Ma wiedzę w zakresie doboru pasowań i tolerowania wymiarów jako czynników wpływających na zdolność maszyny do wypełniania określonych funkcji oraz decydujących o trwałości, niezawodności, łatwości montażu i napraw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zaprojektować układ przeniesienia napędu lub fragment struktur nośnej  statku latającego realizujący ściśle określoną funkcję i spełniający narzucone z góry założenia konstrukcyjne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LiK1_U10, LiK1_U14, LiK1_U17, LiK1_U19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T1A_U10, T1A_U13, T1A_U14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Potrafi sporządzić model uproszczony urządzenia pozwalający na przeprowadzenie poprawnej analizy w zakresie kinematyki i statyki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Posiada umiejętność nadawania elementom maszyny kształtów i wymiarów w taki sposób aby w połączeniu z właściwym doborem materiałów konstrukcyjnych i dostępnych metod wytwarzania zapewnić wytrzymałość, sztywność i stateczność warunkującą poprawne i bezpieczne funkcjonowanie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Potrafi wykorzystywać systemy wspomagania projektowania typu CAD/CAE na wszystkich etapach projektowania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EU5: </w:t>
      </w:r>
    </w:p>
    <w:p>
      <w:pPr/>
      <w:r>
        <w:rPr/>
        <w:t xml:space="preserve">Jest w stanie zaproponować i zastosować podparcie elementów przeniesienia napędu na łożyskach różnego typu o odpowiedniej trwałości, właściwie osadzonych, smarowanych, uszczelnionych i zabezpieczonych; potrafi zaproponować i zastosować dla członów pary kinematycznej łatwe w montażu i demontażu obrotowe połączenie sworzniowe lub inne.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LiK1_U10, LiK1_U12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</w:t>
      </w:r>
    </w:p>
    <w:p>
      <w:pPr>
        <w:keepNext w:val="1"/>
        <w:spacing w:after="10"/>
      </w:pPr>
      <w:r>
        <w:rPr>
          <w:b/>
          <w:bCs/>
        </w:rPr>
        <w:t xml:space="preserve">Efekt EU6: </w:t>
      </w:r>
    </w:p>
    <w:p>
      <w:pPr/>
      <w:r>
        <w:rPr/>
        <w:t xml:space="preserve">Umie decydować o dokładności elementów maszyn poprzez wykorzystanie analizy tolerancji, stosowanie określonych pasowań i wybór odpowiedniej chropowatości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LiK1_U10, LiK1_U20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T1A_U15</w:t>
      </w:r>
    </w:p>
    <w:p>
      <w:pPr>
        <w:keepNext w:val="1"/>
        <w:spacing w:after="10"/>
      </w:pPr>
      <w:r>
        <w:rPr>
          <w:b/>
          <w:bCs/>
        </w:rPr>
        <w:t xml:space="preserve">Efekt EU7: </w:t>
      </w:r>
    </w:p>
    <w:p>
      <w:pPr/>
      <w:r>
        <w:rPr/>
        <w:t xml:space="preserve">Potrafi zaprojektować urządzenie w którym przewidziano odpowiednie dostępy montażowe i obsługowe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EU8: </w:t>
      </w:r>
    </w:p>
    <w:p>
      <w:pPr/>
      <w:r>
        <w:rPr/>
        <w:t xml:space="preserve">Potrafi odszukać i stosować gotowe podzespoły układów napędowych dostępne na rynku, umie korzystać z odpowiednich norm, specyfikacji materiałów konstrukcyjnych i przepisów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2025-05-03T04:21:29+02:00</dcterms:created>
  <dcterms:modified xsi:type="dcterms:W3CDTF">2025-05-03T04:21:29+02:00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