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?Dowolny nauczyciel akademicki upoważniony przez Rade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Zaleca się aby przedmiot zaliczany był w dwóch etapach:
1. Zebranie materiałów na zadany temat uwzględniając wszystkie dostepne źródła, w tym książki, podręczniki akademickie, czasopisma naukowe oraz internet. Zebrany materiał ujęty powinien byc w formie krótkiej pracy pisemnej zawierającej odniesienia do użytych źródeł wiedzy oraz ich analizę. Część
ta powinna powstawać we współpracy w prowadzącym pracę i być kontrolowana podczas indywidualnych
spotkań.
2. Obrona pracy. Zaleca się aby obrona odbywała sie w większym gronie osób, podczs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prezenatacja
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inzynierskiej i nawiązywac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wyszukiwac w dostepnych źródłach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dokonac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Poyrafi przedstawic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 krótki i jasny sposób przedstawić wyniki swojej poracy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Rozumie potrzebą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EK3: </w:t>
      </w:r>
    </w:p>
    <w:p>
      <w:pPr/>
      <w:r>
        <w:rPr/>
        <w:t xml:space="preserve">Ma świadomośc pozatechnicznych aspektów dziłalności inzynierskiej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2026-07-28T19:30:24+02:00</dcterms:created>
  <dcterms:modified xsi:type="dcterms:W3CDTF">2026-07-28T19:30:24+02:00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