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[AiR_W1]: </w:t>
      </w:r>
    </w:p>
    <w:p>
      <w:pPr/>
      <w:r>
        <w:rPr/>
        <w:t xml:space="preserve">Student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[AiR_W2]: </w:t>
      </w:r>
    </w:p>
    <w:p>
      <w:pPr/>
      <w:r>
        <w:rPr/>
        <w:t xml:space="preserve">Student wie,jak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[AiR_W3]: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[AiR_U1]: </w:t>
      </w:r>
    </w:p>
    <w:p>
      <w:pPr/>
      <w:r>
        <w:rPr/>
        <w:t xml:space="preserve">Student posiada umiejętność rozwiązywania obwodów elektrycznych prądu stałego i sinusoidalnie zmiennego(1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[AiR_U2]: </w:t>
      </w:r>
    </w:p>
    <w:p>
      <w:pPr/>
      <w:r>
        <w:rPr/>
        <w:t xml:space="preserve">Student umie porównać i zastosować podstawowe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[AiR_U3]: </w:t>
      </w:r>
    </w:p>
    <w:p>
      <w:pPr/>
      <w:r>
        <w:rPr/>
        <w:t xml:space="preserve">Student potrafi opisać i rozwiązać prosty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[AiR_U4]: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2026-10-02T18:03:36+02:00</dcterms:created>
  <dcterms:modified xsi:type="dcterms:W3CDTF">2026-10-02T18:03:36+02:00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