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przygotowaniu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	Izotopy dla medycyny nuklearnej (4h);
•	Anatomia i fizjologia organów (4h);
•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	Automatyzacja diagnostyki izotopowej w badaniach:
o	układu nerwowego (ocena przepływu przez naczynia szyjne, naczynia krwionośne i perfuzja półkul mózgowych),
o	czynności komór serca: (metodą pierwszego przejścia, metodą bramkowania sygnałem EKG),
o	przepływu krwi w mięśniu sercowym (badania z zastosowaniem izotopu talu Tl-201, badania za pomocą związków izonitrylowych - MIBI),
o	czynności nerek (ocena klirensu i filtracji kłębkowej (GFR), wychwyt DMSA),
o	czynności wątroby (przepływ krwi w układzie wrotnym),
o	układu pokarmowego (ocena refluksu przełykowo-żołądkowego),
o	tarczycy (perfuzja płatów tarczycy i guzków, wychwyt jodowy),
1.	Statystyka pomiarów scyntygraficznych
2.	Budowa i zasada działania gammakamery
3.	Akwizycja obrazów gammakamerowych
4.	Analiza wybranych badań czynnościowych
5.	Algorytmy rekonstrukcji obrazów dla tomografii SPECT
6.	Analiza tomograficznych obrazów multimodalnych
</w:t>
      </w:r>
    </w:p>
    <w:p>
      <w:pPr>
        <w:keepNext w:val="1"/>
        <w:spacing w:after="10"/>
      </w:pPr>
      <w:r>
        <w:rPr>
          <w:b/>
          <w:bCs/>
        </w:rPr>
        <w:t xml:space="preserve">Metody oceny: </w:t>
      </w:r>
    </w:p>
    <w:p>
      <w:pPr>
        <w:spacing w:before="20" w:after="190"/>
      </w:pPr>
      <w:r>
        <w:rPr/>
        <w:t xml:space="preserve">W przygotowaniu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2026-01-14T08:51:27+01:00</dcterms:created>
  <dcterms:modified xsi:type="dcterms:W3CDTF">2026-01-14T08:51:27+01:00</dcterms:modified>
</cp:coreProperties>
</file>

<file path=docProps/custom.xml><?xml version="1.0" encoding="utf-8"?>
<Properties xmlns="http://schemas.openxmlformats.org/officeDocument/2006/custom-properties" xmlns:vt="http://schemas.openxmlformats.org/officeDocument/2006/docPropsVTypes"/>
</file>