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Zaawansowanych Metod Badania Materiałów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ZMBM-lab</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IM2_U01, IM2_U03, IM2_U08, IM2_U10, IM2_U13, IM2_U20</w:t>
      </w:r>
    </w:p>
    <w:p>
      <w:pPr>
        <w:spacing w:before="20" w:after="190"/>
      </w:pPr>
      <w:r>
        <w:rPr>
          <w:b/>
          <w:bCs/>
        </w:rPr>
        <w:t xml:space="preserve">Powiązane efekty obszarowe: </w:t>
      </w:r>
      <w:r>
        <w:rPr/>
        <w:t xml:space="preserve">T2A_U01, T2A_U03, T2A_U08, T2A_U10,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2026-10-03T09:50:50+02:00</dcterms:created>
  <dcterms:modified xsi:type="dcterms:W3CDTF">2026-10-03T09:50:50+02:00</dcterms:modified>
</cp:coreProperties>
</file>

<file path=docProps/custom.xml><?xml version="1.0" encoding="utf-8"?>
<Properties xmlns="http://schemas.openxmlformats.org/officeDocument/2006/custom-properties" xmlns:vt="http://schemas.openxmlformats.org/officeDocument/2006/docPropsVTypes"/>
</file>