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w:t>
      </w:r>
    </w:p>
    <w:p>
      <w:pPr>
        <w:keepNext w:val="1"/>
        <w:spacing w:after="10"/>
      </w:pPr>
      <w:r>
        <w:rPr>
          <w:b/>
          <w:bCs/>
        </w:rPr>
        <w:t xml:space="preserve">Koordynator przedmiotu: </w:t>
      </w:r>
    </w:p>
    <w:p>
      <w:pPr>
        <w:spacing w:before="20" w:after="190"/>
      </w:pPr>
      <w:r>
        <w:rPr/>
        <w:t xml:space="preserve">dr hab. Wojciech Święszkowski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MB</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Zaprezentowane zostaną podstawy biomechaniki układu szkieletowo-mięśniowego człowieka. Omawiane będą stosowane równania  konstytutywne dla izotropowych, ortotropowych i anizotropowych biomateriałów. W szczególności omawiane będą zagadnienia związane z mechanicznymi właściwościami biomateriałów obejmujące właściwości sprężyste, plastyczne, lepkosprężyste, zniszczenie i zużycie. Omawiane będą również aspekty biozgodności oraz założenia i wymagania stawiane materiałów na implanty.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Y.C. Fung, Biomechanics: Mechanical Properties of Living Tissues, 2nd edition, Springer, 1993. Biocybernetyka i inżynieria biomedyczna 2000, pod redakcją M. Nałęcza, Akademicka Oficyny Wydawnicza, EXIT, 2003; J. Marciniak, Biomateriały, Wyd. Politechniki Śląskiej, Gliwice 2002; M. Gierzyńska-Dolna, Biotribologia, Wyd. Politechniki Częstochowskiej,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MBIO_W1: </w:t>
      </w:r>
    </w:p>
    <w:p>
      <w:pPr/>
      <w:r>
        <w:rPr/>
        <w:t xml:space="preserve">Ma wiedzę na temat struktury i właściwości biomateriałów naturalnych i sztucznych</w:t>
      </w:r>
    </w:p>
    <w:p>
      <w:pPr>
        <w:spacing w:before="60"/>
      </w:pPr>
      <w:r>
        <w:rPr/>
        <w:t xml:space="preserve">Weryfikacja: </w:t>
      </w:r>
    </w:p>
    <w:p>
      <w:pPr>
        <w:spacing w:before="20" w:after="190"/>
      </w:pPr>
      <w:r>
        <w:rPr/>
        <w:t xml:space="preserve">	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keepNext w:val="1"/>
        <w:spacing w:after="10"/>
      </w:pPr>
      <w:r>
        <w:rPr>
          <w:b/>
          <w:bCs/>
        </w:rPr>
        <w:t xml:space="preserve">Efekt MBIO_W4: </w:t>
      </w:r>
    </w:p>
    <w:p>
      <w:pPr/>
      <w:r>
        <w:rPr/>
        <w:t xml:space="preserve">ma wiedzę na temat doboru biomateriałów na wybrane „części zamienne” człowieka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MBIO_U1: </w:t>
      </w:r>
    </w:p>
    <w:p>
      <w:pPr/>
      <w:r>
        <w:rPr/>
        <w:t xml:space="preserve">Potrafi dobierać wstępnie biomateriały na wybrane implanty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keepNext w:val="1"/>
        <w:spacing w:after="10"/>
      </w:pPr>
      <w:r>
        <w:rPr>
          <w:b/>
          <w:bCs/>
        </w:rPr>
        <w:t xml:space="preserve">Efekt MBIO_U2: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w:t>
      </w:r>
    </w:p>
    <w:p>
      <w:pPr>
        <w:spacing w:before="20" w:after="190"/>
      </w:pPr>
      <w:r>
        <w:rPr>
          <w:b/>
          <w:bCs/>
        </w:rPr>
        <w:t xml:space="preserve">Powiązane efekty obszarowe: </w:t>
      </w:r>
      <w:r>
        <w:rPr/>
        <w:t xml:space="preserve">T1A_U13</w:t>
      </w:r>
    </w:p>
    <w:p>
      <w:pPr>
        <w:pStyle w:val="Heading3"/>
      </w:pPr>
      <w:bookmarkStart w:id="4" w:name="_Toc4"/>
      <w:r>
        <w:t>Profil ogólnoakademicki - kompetencje społeczne</w:t>
      </w:r>
      <w:bookmarkEnd w:id="4"/>
    </w:p>
    <w:p>
      <w:pPr>
        <w:keepNext w:val="1"/>
        <w:spacing w:after="10"/>
      </w:pPr>
      <w:r>
        <w:rPr>
          <w:b/>
          <w:bCs/>
        </w:rPr>
        <w:t xml:space="preserve">Efekt MBIO_K1: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2025-05-02T20:44:49+02:00</dcterms:created>
  <dcterms:modified xsi:type="dcterms:W3CDTF">2025-05-02T20:44:49+02:00</dcterms:modified>
</cp:coreProperties>
</file>

<file path=docProps/custom.xml><?xml version="1.0" encoding="utf-8"?>
<Properties xmlns="http://schemas.openxmlformats.org/officeDocument/2006/custom-properties" xmlns:vt="http://schemas.openxmlformats.org/officeDocument/2006/docPropsVTypes"/>
</file>