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 - ZwP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 (15h wykład + 15 h ćwiczenia), zapoznanie się z literaturą 30 h, przygotowanie do zaliczenia ćwiczeń 30 h, przygotowanie do egzaminu 30 h. Razem 120 godz. = 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 (15h wykład + 15 h ćwiczenia). Razem 30 godz. = 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30 h, przygotowanie do zaliczenia ćwiczeń 30 h, przygotowanie do egzaminu 30 h. Razem 90 godz. = 2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kapitał, rynek, jednostka gospodarcza, przedsiębiorstwo, produkcja, handel, usługi, inwestycje, majątek, dług, kredyt, stopa dyskontowa, podatek, przychód, koszt, dochód.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rachunkowości jako międzynarodowego języka biznesu przez opanowanie nowoczesnego prawa bilansowego; nabycie wiedzy w zakresie wyceny składników bilansowych i systemów ewidencyjnych zmierzających do odzwierciedlenia sytuacji majątkowo-kapitałowej i finansowej przedsiębiorstw; praktyczne zaznajomienie studentów z księgowaniem operacji gospodarczych w systemach kont syntetycznych, analitycznych i z procedurami tworzenia bilansu, rachunku zysków i strat oraz rachunku przepływów pieniężnych; uświadomienie wartości poznawczych sprawozdawczości finansowej jednostek gospodarczych w zarządzaniu.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Zagadnienia wstępne rachunkowości. 2. Bilans księgowy. 3. Konta księgowe. 4. Rachunek zysków i strat. 5. Współmierność kosztów i przychodów. 6. Rozrachunki. 7. Zasady wyceny i ewidencji rzeczowych aktywów obrotowych. 8. Amortyzacja i ewidencja środków trwałych oraz wartości niematerialnych i prawnych. 9. Aktywa finansowe i własne papiery wartościowe. 10. Rachunek przepływów pieniężnych. 11. Podatek dochodowy i rozliczenie wyniku finansowego. ĆWICZENIA: 1. Bilans księgowy i operacje bilansowe. 2. Konto księgowe. 3. Rachunek zysków i strat. 4. Ewidencja zapasów, instrumentów finansowych, aktywów trwałych. 5. Rachunek przepływów pieniężnych.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E., Wprowadzenie do rachunkowości, Oficyna Wydawnicza Politechniki Warszawskiej, Warszawa 2010. [2] Kalwasińska E., Maciejowska D., Rachunkowość finansowa w teorii i praktyce, Wydawnictwo Naukowe Wydziału Zarządzania Uniwersytetu Warszawskiego, Warszawa 2011. [3] Ustawa z dnia 29 września 1994 r. o rachunkowości, tekst jednolity: DzU nr 152/2009, poz. 1223. [4] Gmytrasiewicz M., Karmańska A., Rachunkowość finansowa, Difin, Warszawa 2009. Matuszewicz J., Matuszewicz P., Rachunkowość od podstaw, FINANS-SERVIS, Warszawa 2010. [5] Olchowicz I., Podstawy rachunkowości, tom 1, Difin, Warszawa 2007 [6] Sawicki K., Podstawy rachunkowości, Polskie Wydawnictwo Ekonomiczne,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_ _ _: </w:t>
      </w:r>
    </w:p>
    <w:p>
      <w:pPr/>
      <w:r>
        <w:rPr/>
        <w:t xml:space="preserve">Ma uporządkowaną wiedzę o systemie informacyjnym rachunkowości finansowej; zna zasady rachunkowości i warunki prowadzenia ksiąg rachunkowych; ma usystematyzowaną wiedzę o poszczególnych kategoriach ekonomicznych rachunkowości  i tworzeniu sprawozdawczości finansowej.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_ _ _: </w:t>
      </w:r>
    </w:p>
    <w:p>
      <w:pPr/>
      <w:r>
        <w:rPr/>
        <w:t xml:space="preserve">Potrafi wykorzystać kategorie rachunkowości do: ustalenia stanu majątku i kapitałów: odzwierciedlenia różnorodnych kategorii wyników finansowych i przepływów pieniężnych; potrafi wykorzystać przepisy prawne do ewidencji majątku, kapitałów, przychodów, kosztów oraz opodatkowania jednostki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_ _ _: </w:t>
      </w:r>
    </w:p>
    <w:p>
      <w:pPr/>
      <w:r>
        <w:rPr/>
        <w:t xml:space="preserve">Potrafi sformułować wnioski o majątku, kapitale, wynikach finansowych i przepływach finansowych organizacji gospodarczej oraz rozumie, które kategorie należy zmienić lub poprawić dla lepszych efektów działalności na poziomie  ekonomicznym i organizacyjnym.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2026-09-08T21:15:10+02:00</dcterms:created>
  <dcterms:modified xsi:type="dcterms:W3CDTF">2026-09-08T21:15:10+02:00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