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(15h wykład + 15 h ćwiczenia), zapoznanie się z literaturą 30 h, przygotowanie do zaliczenia ćwiczeń 30 h, przygotowanie do egzaminu 30 h. Razem 120 godz. 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(15h wykład + 15 h ćwiczenia). Razem 30 godz.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30 h, przygotowanie do zaliczenia ćwiczeń 30 h, przygotowanie do egzaminu 30 h. Razem 90 godz.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kapitał, rynek, jednostka gospodarcza, przedsiębiorstwo, produkcja, handel, usługi, inwestycje, majątek, dług, kredyt, stopa dyskontowa, podatek, przychód, koszt, dochód.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rachunkowości jako międzynarodowego języka biznesu przez opanowanie nowoczesnego prawa bilansowego; nabycie wiedzy w zakresie wyceny składników bilansowych i systemów ewidencyjnych zmierzających do odzwierciedlenia sytuacji majątkowo-kapitałowej i finansowej przedsiębiorstw; praktyczne zaznajomienie studentów z księgowaniem operacji gospodarczych w systemach kont syntetycznych, analitycznych i z procedurami tworzenia bilansu, rachunku zysków i strat oraz rachunku przepływów pieniężnych; uświadomienie wartości poznawczych sprawozdawczości finansowej jednostek gospodarczych w zarządzaniu.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Zagadnienia wstępne rachunkowości. 2. Bilans księgowy. 3. Konta księgowe. 4. Rachunek zysków i strat. 5. Współmierność kosztów i przychodów. 6. Rozrachunki. 7. Zasady wyceny i ewidencji rzeczowych aktywów obrotowych. 8. Amortyzacja i ewidencja środków trwałych oraz wartości niematerialnych i prawnych. 9. Aktywa finansowe i własne papiery wartościowe. 10. Rachunek przepływów pieniężnych. 11. Podatek dochodowy i rozliczenie wyniku finansowego. ĆWICZENIA: 1. Bilans księgowy i operacje bilansowe. 2. Konto księgowe. 3. Rachunek zysków i strat. 4. Ewidencja zapasów, instrumentów finansowych, aktywów trwałych. 5. Rachunek przepływów pieniężnych.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E., Wprowadzenie do rachunkowości, Oficyna Wydawnicza Politechniki Warszawskiej, Warszawa 2010. [2] Kalwasińska E., Maciejowska D., Rachunkowość finansowa w teorii i praktyce, Wydawnictwo Naukowe Wydziału Zarządzania Uniwersytetu Warszawskiego, Warszawa 2011. [3] Ustawa z dnia 29 września 1994 r. o rachunkowości, tekst jednolity: DzU nr 152/2009, poz. 1223. [4] Gmytrasiewicz M., Karmańska A., Rachunkowość finansowa, Difin, Warszawa 2009. Matuszewicz J., Matuszewicz P., Rachunkowość od podstaw, FINANS-SERVIS, Warszawa 2010. [5] Olchowicz I., Podstawy rachunkowości, tom 1, Difin, Warszawa 2007 [6] Sawicki K., Podstawy rachunkowości, Polskie Wydawnictwo Ekonomiczne,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 i tworzeniu sprawozdawczości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Potrafi wykorzystać kategorie rachunkowości do: ustalenia stanu majątku i kapitałów: odzwierciedlenia różnorodnych kategorii wyników finansowych i przepływów pieniężnych; potrafi wykorzystać przepisy prawne do ewidencji majątku, kapitałów, przychodów, kosztów oraz opodatkowania jednostki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_ _ _: </w:t>
      </w:r>
    </w:p>
    <w:p>
      <w:pPr/>
      <w:r>
        <w:rPr/>
        <w:t xml:space="preserve">Potrafi sformułować wnioski o majątku, kapitale, wynikach finansowych i przepływach finansowych organizacji gospodarczej oraz rozumie, które kategorie należy zmienić lub poprawić dla lepszych efektów działalności na poziomie  ekonomicznym i organizacyjnym.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2026-07-29T19:22:23+02:00</dcterms:created>
  <dcterms:modified xsi:type="dcterms:W3CDTF">2026-07-29T19:22:23+02:00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