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15h, przygotowanie do zaliczenia przedmiotu 15h,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zasad instytucji prawnych prawa cywilnego. Uzyskanie informacji o sposobach wykorzystania regulacji prawnych prawa cywilnego w funkcjonowaniu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zakres regulacji prawa cywilnego. Zródła prawa cywilnego. Czynności prawne i ich rodzaje. Oświadczenia woli. 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K_W03, K_W18, K_W33: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K_W18, 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S2A_W08, S2A_W06, S2A_W08,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K_U11, K_U28, K_U32: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S2A_U07,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K_K06: </w:t>
      </w:r>
    </w:p>
    <w:p>
      <w:pPr/>
      <w:r>
        <w:rPr/>
        <w:t xml:space="preserve">Rozumie potrzebę i zna możliwości dalszego kształcenia się.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tworzone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2026-05-30T06:01:22+02:00</dcterms:created>
  <dcterms:modified xsi:type="dcterms:W3CDTF">2026-05-30T06:01:22+02:00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