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[S2A_W01],  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ogólne zasady tworzenia i rozwoju form indywidualnej przedsiębiorczości wykorzystującej wiedzę z dziedziny i dyscypliny nauki, właściwej dla studiowanego kierunku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, [S2A_U02] : </w:t>
      </w:r>
    </w:p>
    <w:p>
      <w:pPr/>
      <w:r>
        <w:rPr/>
        <w:t xml:space="preserve">potrafi prawidłowo interpretować i wyjaśniać zjawiska społeczne oraz wzajemne relacje między zjawiskami społecznymi, potrafi wykorzystać wiedzę teoretyczną do opisu i analizowania przyczyn i przebiegu procesów i zjawisk społecznych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[S2P_K07], [S2A_K01]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[K_W23], [S2P_W11]: </w:t>
      </w:r>
    </w:p>
    <w:p>
      <w:pPr/>
      <w:r>
        <w:rPr/>
        <w:t xml:space="preserve">Ma elementarną wiedzę w zakresie mikroekonomii, ekonomii pozytywnej i normatywnej, głównych nurtów ekonomii, popytu, podaży, konkurencji doskonałej, równowagi rynkowej, elastyczności popytu i podaży, kosztów w krótkim i długim okresie, zachowania organizacji na rynku, przedsiębiorstwa i jego funkcji w gospodarce, renty ekonomicznej, równowagi organizacji na rynku konkurencyjnym i rynku pracy, wpływu czynników ekonomicznych na bezpieczeństwo instytucji i procesy zarządzania, Organizacji w budowan, zna ogólne zasady tworzenia i rozwoju form indywidualnej przedsiębiorczości wykorzystującej wiedzę z dziedziny i dyscypliny nauki, właściwej dla studiowanego kierunku studiów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[S2A_U02], [S2A_U08], [k_U47]: </w:t>
      </w:r>
    </w:p>
    <w:p>
      <w:pPr/>
      <w:r>
        <w:rPr/>
        <w:t xml:space="preserve">potrafi wykorzystać wiedzę teoretyczną do opisu i analizowania przyczyn i przebiegu procesów i zjawisk społecznych oraz potrafi formułować własne opinie i dobierać krytycznie dane i metody analiz,posiada umiejętność rozumienia i analizowania zjawisk społecznych, poszerzoną o umiejętność pogłębionej teoretycznie oceny tych zjawisk w wybranych obszarach z zastosowaniem metody badawczej, potrafi na podstawie zdobytej wiedzy podjąć wyzwania rozwojowe współczesnych przedsiębiorstw i określić nowe paradygmaty przedsiębiorstwa, współczesne modele biznesowe (wirtualizację), nowoczesne metody projektowania organizacji, typy i formy współczesnych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[K_K01],[K_K04] : </w:t>
      </w:r>
    </w:p>
    <w:p>
      <w:pPr/>
      <w:r>
        <w:rPr/>
        <w:t xml:space="preserve">rozumie potrzebę uczenia się przez całe życie ,Zna przykłady i rozumie przyczyny wadliwie działających systemów ekonomicznych i zarządzania, które doprowadziły do poważnych strat finansowych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2026-02-24T19:52:40+01:00</dcterms:created>
  <dcterms:modified xsi:type="dcterms:W3CDTF">2026-02-24T19:52:40+01:00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