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[K_W23]: </w:t>
      </w:r>
    </w:p>
    <w:p>
      <w:pPr/>
      <w:r>
        <w:rPr/>
        <w:t xml:space="preserve">Ma usystematyzowaną wiedzę z zakresu organizacji stanowisk pracy oraz regulacji prawnych w aspekcie bezpieczeństwa i higieny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[k_U37]: </w:t>
      </w:r>
    </w:p>
    <w:p>
      <w:pPr/>
      <w:r>
        <w:rPr/>
        <w:t xml:space="preserve">potrafi definiować, samodzielnie i zespołowo prowadzać analizy i oceny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[K_K08]: </w:t>
      </w:r>
    </w:p>
    <w:p>
      <w:pPr/>
      <w:r>
        <w:rPr/>
        <w:t xml:space="preserve">Potrafi przekazać informację o osiągnięciach zarządzania i różnych aspektach zawodu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2026-07-30T02:59:35+02:00</dcterms:created>
  <dcterms:modified xsi:type="dcterms:W3CDTF">2026-07-30T02:59:35+02:00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