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ekonometria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 pisemny: </w:t>
      </w:r>
    </w:p>
    <w:p>
      <w:pPr/>
      <w:r>
        <w:rPr/>
        <w:t xml:space="preserve">Student ma uporządkowaną wiedzę na temat rodzajów modeli ekonometrycznych, posiada umiejętność wyznaczania parametrów strukturalnych w liniowym modelu ekonometrycznym przy pomocy metody najmniejszych kwadratów, wie również kiedy może posługiwać się metodą najmniejszych kwadratów; umie się posługiwać tablicą przepływów międzygałęziowych (TPM), zna model Leontiefa oraz umie rozwiązać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2026-10-03T09:49:18+02:00</dcterms:created>
  <dcterms:modified xsi:type="dcterms:W3CDTF">2026-10-03T09:49:18+02:00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