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Etyka dla inżynierów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Aleksander Popończyk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ETYKA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godzin dla powtórzenia i przyswojenia usłyszanych treści wykładu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wg ustaleń Senatu P.W.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elementarnej wiedzy w zakresie podstaw oceny moralnej czynów, orientacji na człowieka, etyki w zarządzaniu, obszaru zaineresowań etyki, etyki jako elementu kultury organizacyjnej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Etyka biznesu – dylemat naszych czasów
2. Filozoficzne podstawy etyki – antropologia
3. Etyka jako dyscyplina naukowa
4. Prawda, dobro, zło. Klasyczna aretologia.
6. Sumienie podstawową normą moralności 
7. Antropologiczna teoria podejmowania decyzji
8. Życie społeczne człowieka
9. Teoria dobra wspólnego i sprawiedliwości
10. Etyka władzy
11. Etyka inżynierska.
12. Teoria społecznej odpowiedzialność biznesu.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Punktowane kolokwia, kolokwium końcowe i rozmowa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Gasparski, Wykłady z etyki biznesu, Wydawnictwo Wyższej Szkoły Przedsiębiorczości i Zarządzania im. L. KoŹmińskiego, Warszawa 2004.
2. L.Ryan, J.Sójka, Etyka biznesu, W drodze, 1997
3. N. Smith, G.Lenssen, Odpowiedzialność biznesu, Warszwa, 2009
4. Dobre obyczaje w nauce, Komitet etyki PAN, Warszawa, 1994,
5. A. Andrzejuk, Człowiek i decyzja, Navo, 1996
6. A. Andrzejuk, Człowiek i dobro, Navo, 2002
7. K. Wojtyła, Elementarz etyczny, Lublin 1999
8. F. Koneczny, Rozwój moralności, 1997
9. J.Woroniecki, Umiejętność rządzenia i rozkazywania, Lublin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www.etykabiznesu.org/WZ_PW/etyka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 2 poł.sem po 2 godz. tygodniowo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K_W01,04: </w:t>
      </w:r>
    </w:p>
    <w:p>
      <w:pPr/>
      <w:r>
        <w:rPr/>
        <w:t xml:space="preserve">Ma elementarną wiedzę w zakresie podejścia sytuacyjnego, orientacji na człowieka, etyki w zarządzaniu, obszaru zainteresowań etyki, etyki jako elementu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K_U12: </w:t>
      </w:r>
    </w:p>
    <w:p>
      <w:pPr/>
      <w:r>
        <w:rPr/>
        <w:t xml:space="preserve">Potrafi ocenić etyczne aspekty funkcjonowania organizacji i prawidłowego działania pracownika w zarządzaniu.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K_K05: </w:t>
      </w:r>
    </w:p>
    <w:p>
      <w:pPr/>
      <w:r>
        <w:rPr/>
        <w:t xml:space="preserve">Rozumie potrzebę zachowań personalnych i przestrzega zasad etyki, w tym uczciwości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2026-09-11T12:18:33+02:00</dcterms:created>
  <dcterms:modified xsi:type="dcterms:W3CDTF">2026-09-11T12:18:33+02:00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