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i kontroling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h
[nakład pracy związany z zajęciami wymagającymi bezpośredniego udziału nauczycieli akademickich: 45 h; przygotowanie do egzaminu: 30 h,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h, co odpowiada 1,5 ECTS
[wykład: 30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h, co odpowiada 2 ECTS 
[udział w ćwiczeniach: 15 h;przygotowanie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 i metodami rozwiązywania problemów decyzyjnych w organizacji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i kontroli kosztów
2.	Analiza przedsięwzięć gospodarczych na podstawie wielkości krytycznych. Ceny 
3.	Planowanie zysków i decyzje krótkoterminowe
4.	Rozrachunek wewnętrzny 
5.	Analiza cen, sprzedaży i rentowności 
6.	Budżet przedsiębiorstwa. Planowanie finansowo-kosztowe
7.	Rachunkowość w sterowaniu inwestycjami 
8.	Strategiczna rachunkowość zarządcza
ĆWICZENIA:
1.	Pomiar kosztów i korzyści 
2.	Analiza relacji: koszty – rozmiary - wyniki
3.	Krótkookresowy rachunek decyzyjny
4.	Długookresowy rachunek decyzyjny
5.	Ośrodki odpowiedzialności i ich ocena 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Rachunkowość zarządcza. Podejście operacyjne i strategiczne / red. nauk.  Irena Sobańska, Warszawa:   C. H. Beck, 2010
2.	Rachunkowość zarządcza i rachunek kosztów w systemie informacyjnym przedsiębiorstwa / red. nauk. Anna Karmańska. Warszawa: Difin, 2006
3.	Rachunkowość zarządcza: klucz do sukcesu / Piotr Szczypa.  Warszawa : CeDeWu, 2007
4.	Rachunkowość zarządcza i rachunek kosztów / red. nauk. Gertruda Świderska. Warszawa : Difin,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podstaw rachunku i kontroli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specyficzne kryteria decyzyjne i formuły cenowe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o metodach rozwiązywania typowych problemów decyzyjnych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z zakresu budżetowania kosztów, przychodów 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ma wiedzę o nowoczesnych systemach pomiaru i oceny dokonań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kalkulować górne i dolne granice cenowe oraz ceny sprzedaży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sporządzać rachunki alternatywnych działań oraz analizować ich wpływ na wynik podmiotu w okresie bieżącym i przyszłym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sporządzać budżety cząstkowe i oceniać ich wykonanie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Student potrafi oceniać dokonania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Student ma świadomość braków w wiedzy własnej i/lub zdolności do jej zastosowania oraz ma potrzebę ich uzupełniania i aktualizowania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KS_03: </w:t>
      </w:r>
    </w:p>
    <w:p>
      <w:pPr/>
      <w:r>
        <w:rPr/>
        <w:t xml:space="preserve">Student rozumie konieczność współpracy z innymi w rozwiązywaniu problemów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2026-07-28T10:17:21+02:00</dcterms:created>
  <dcterms:modified xsi:type="dcterms:W3CDTF">2026-07-28T10:17:21+02:00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