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Zna zakres dokumentacji, warunkującej uzyskanie pozwolenia na budowę i prowadzenie robót budowlanych. Zna zasady inwestorskiej kontroli przebiegu i kosztów robót. Zna zasady dokonywania odbiorów przejściowych robót i odbioru końcowego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Potrafi określić stadia i zawartość budowlanej dokumentacji projektowej. Potrafi wskazać zakres inwestorskiej kontroli jakości i kosztów budowy. Potrafi wskazać zakres działań związanych z przejęciem i użytkowaniem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