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Treści kształcenia	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[K_W95]: </w:t>
      </w:r>
    </w:p>
    <w:p>
      <w:pPr/>
      <w:r>
        <w:rPr/>
        <w:t xml:space="preserve">ma usystematyzowaną wiedzę w zakresie systemów zarządzania bhp, Zarządzaniem bhp i ergonomią, systemu zarządzania bhp wg PN-N-18001:2004, OHSAS 18001:2007.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K_W95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[k_U109]: </w:t>
      </w:r>
    </w:p>
    <w:p>
      <w:pPr/>
      <w:r>
        <w:rPr/>
        <w:t xml:space="preserve">potrafi wykorzystać zestaw narzędzi analitycznych pozwalających ocenić i wspomagać zarządzanie środowiskiem pracy w przedsiębiorstwie.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k_U109</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2026-05-07T06:09:37+02:00</dcterms:created>
  <dcterms:modified xsi:type="dcterms:W3CDTF">2026-05-07T06:09:37+02:00</dcterms:modified>
</cp:coreProperties>
</file>

<file path=docProps/custom.xml><?xml version="1.0" encoding="utf-8"?>
<Properties xmlns="http://schemas.openxmlformats.org/officeDocument/2006/custom-properties" xmlns:vt="http://schemas.openxmlformats.org/officeDocument/2006/docPropsVTypes"/>
</file>