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45 h (30h wykład + 15 h ćwiczenia), zapoznanie się z literaturą 35 h, przygotowanie do zaliczenia wykładu 20 h, przygotowanie do zaliczenia ćwiczeń 20 h. Razem 120 godz. =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45 h (30h wykład + 15 h ćwiczenia). Razem 45 godz. = 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35 h, przygotowanie do zaliczenia wykładu 20 h, przygotowanie do zaliczenia ćwiczeń 20 h. Razem 75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kapitał, rynek, jednostka gospodarcza, przedsiębiorstwo, produkcja, handel, usługi, inwestycje, majątek, dług, kredyt, stopa dyskontowa, podatek, przychód, koszt, dochód.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rachunkowości jako międzynarodowego języka biznesu przez opanowanie nowoczesnego prawa bilansowego; nabycie wiedzy w zakresie wyceny składników bilansowych i systemów ewidencyjnych zmierzających do odzwierciedlenia sytuacji majątkowo-kapitałowej i finansowej przedsiębiorstw; praktyczne zaznajomienie studentów z księgowaniem operacji gospodarczych w systemach kont syntetycznych, analitycznych i z procedurami tworzenia bilansu, rachunku zysków i strat oraz rachunku przepływów pieniężnych; uświadomienie wartości poznawczych sprawozdawczości finansowej jednostek gospodarczych w zarządzaniu.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Zagadnienia wstępne rachunkowości. 2. Bilans księgowy. 3. Konta księgowe. 4. Rachunek zysków i strat. 5. Współmierność kosztów i przychodów. 6. Rozrachunki. 7. Zasady wyceny i ewidencji rzeczowych aktywów obrotowych. 8. Amortyzacja i ewidencja środków trwałych oraz wartości niematerialnych i prawnych. 9. Aktywa finansowe i własne papiery wartościowe. 10. Rachunek przepływów pieniężnych. 11. Podatek dochodowy i rozliczenie wyniku finansowego. ĆWICZENIA: 1. Bilans księgowy i operacje bilansowe. 2. Konto księgowe. 3. Rachunek zysków i strat. 4. Ewidencja zapasów, instrumentów finansowych, aktywów trwałych. 5. Rachunek przepływów pieniężnych.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E., Wprowadzenie do rachunkowości, Oficyna Wydawnicza Politechniki Warszawskiej, Warszawa 2010. [2] Kalwasińska E., Maciejowska D., Rachunkowość finansowa w teorii i praktyce, Wydawnictwo Naukowe Wydziału Zarządzania Uniwersytetu Warszawskiego, Warszawa 2011. [3] Ustawa z dnia 29 września 1994 r. o rachunkowości, tekst jednolity: DzU nr 152/2009, poz. 1223. [4] Gmytrasiewicz M., Karmańska A., Rachunkowość finansowa, Difin, Warszawa 2009. Matuszewicz J., Matuszewicz P., Rachunkowość od podstaw, FINANS-SERVIS, Warszawa 2010. [5] Olchowicz I., Podstawy rachunkowości, tom 1, Difin, Warszawa 2007 [6] Sawicki K., Podstawy rachunkowości, Polskie Wydawnictwo Ekonomiczne,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_ _ _: </w:t>
      </w:r>
    </w:p>
    <w:p>
      <w:pPr/>
      <w:r>
        <w:rPr/>
        <w:t xml:space="preserve">Ma uporządkowaną wiedzę o systemie informacyjnym rachunkowości finansowej; zna zasady rachunkowości i warunki prowadzenia ksiąg rachunkowych; ma usystematyzowaną wiedzę o poszczególnych kategoriach ekonomicznych rachunkowości i tworzeniu sprawozdawczości finansowej.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_ _ _: </w:t>
      </w:r>
    </w:p>
    <w:p>
      <w:pPr/>
      <w:r>
        <w:rPr/>
        <w:t xml:space="preserve">Potrafi wykorzystać kategorie rachunkowości do: ustalenia stanu majątku i kapitałów: odzwierciedlenia różnorodnych kategorii wyników finansowych i przepływów pieniężnych; potrafi wykorzystać przepisy prawne do ewidencji majątku, kapitałów, przychodów, kosztów oraz opodatkowania jednostki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_ _ _: </w:t>
      </w:r>
    </w:p>
    <w:p>
      <w:pPr/>
      <w:r>
        <w:rPr/>
        <w:t xml:space="preserve">Rozumie, że przy formułowaniu założeń i wniosków, należy przestrzegać norm etycznych i działać elastycznie w granicach obowiązującego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sformułować ostateczne wnioski o majątku, kapitale, wynikach finansowych i przepływach finansowych organizacji gospodarczej oraz rozumie, które kategorie należy zmienić lub poprawić dla lepszych efektów działalności na poziomie ekonomicznym i organizacyjnym.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2026-10-03T01:15:19+02:00</dcterms:created>
  <dcterms:modified xsi:type="dcterms:W3CDTF">2026-10-03T01:15:19+02:00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