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oceny wysiłku fizycznego, obciążenia psychicznego, konstrukcji urządzeń sterowniczych i wskaźnikowych, kształtowaniem struktury przestrzennej stanowiska pracy,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rozumie potrzebę i zna możliwości dalszego kształcenia się (studia II i III stopnia, studia podyplomowe, kursy i egzaminy przeprowadzane przez uczelnie, firmy i organizacje zawodowe </w:t>
      </w:r>
    </w:p>
    <w:p>
      <w:pPr>
        <w:spacing w:before="60"/>
      </w:pPr>
      <w:r>
        <w:rPr/>
        <w:t xml:space="preserve">Weryfikacja: </w:t>
      </w:r>
    </w:p>
    <w:p>
      <w:pPr>
        <w:spacing w:before="20" w:after="190"/>
      </w:pPr>
      <w:r>
        <w:rPr/>
        <w:t xml:space="preserve">Pisemne zaliczenie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2026-01-15T06:21:02+01:00</dcterms:created>
  <dcterms:modified xsi:type="dcterms:W3CDTF">2026-01-15T06:21:02+01:00</dcterms:modified>
</cp:coreProperties>
</file>

<file path=docProps/custom.xml><?xml version="1.0" encoding="utf-8"?>
<Properties xmlns="http://schemas.openxmlformats.org/officeDocument/2006/custom-properties" xmlns:vt="http://schemas.openxmlformats.org/officeDocument/2006/docPropsVTypes"/>
</file>