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18 Pozyskanie danych 4 Wykonanie części rysunkowej i obliczeniowej
projektu 20 Konsultacje z prowadzącym 4 Obrona projektu 6 Razem 52 godz. ↔ 2pkt.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18 Konsultacje z prowadzącym 4 Obrona projektu 6 Razem 28 h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18. wykonanie części rysunkowej i obliczeniowej projektu 20
Konsultacje z prowadzącym 4 Razem 42 h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w:t>
      </w:r>
    </w:p>
    <w:p>
      <w:pPr>
        <w:keepNext w:val="1"/>
        <w:spacing w:after="10"/>
      </w:pPr>
      <w:r>
        <w:rPr>
          <w:b/>
          <w:bCs/>
        </w:rPr>
        <w:t xml:space="preserve">Efekt W_02: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K_02: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2026-10-03T17:59:40+02:00</dcterms:created>
  <dcterms:modified xsi:type="dcterms:W3CDTF">2026-10-03T17:59:40+02:00</dcterms:modified>
</cp:coreProperties>
</file>

<file path=docProps/custom.xml><?xml version="1.0" encoding="utf-8"?>
<Properties xmlns="http://schemas.openxmlformats.org/officeDocument/2006/custom-properties" xmlns:vt="http://schemas.openxmlformats.org/officeDocument/2006/docPropsVTypes"/>
</file>