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w:t>
      </w:r>
    </w:p>
    <w:p>
      <w:pPr>
        <w:keepNext w:val="1"/>
        <w:spacing w:after="10"/>
      </w:pPr>
      <w:r>
        <w:rPr>
          <w:b/>
          <w:bCs/>
        </w:rPr>
        <w:t xml:space="preserve">Koordynator przedmiotu: </w:t>
      </w:r>
    </w:p>
    <w:p>
      <w:pPr>
        <w:spacing w:before="20" w:after="190"/>
      </w:pPr>
      <w:r>
        <w:rPr/>
        <w:t xml:space="preserve">prof. dr hab. inż. Jerzy Manerowski, prof. zw.;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TR.NIK410</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16
Przygotowanie do zaliczenia 		23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godz. Udział w egzaminie 2 godz. 
Konsultacje 3 godz. Razem 23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zaznajomienie studentów i usystematyzowanie podstawowej wiedzy z zakresu środków transportu. Wykładem objęte są lądowe środki transportu bliskiego i dalekiego oraz środki transportu lotniczego i wodnego.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WKŁ, Warszawa 1992. St. Arczyński Mechanika ruchu samochodu. WNT, Warszawa 1994. 
5. Z. Romaniszyn, T. Wolfram Nowoczesny tabor szynowy. Wyd. Specjalne Instytutu Pojazdów Szynowych, Kraków 1997. 
6. J. Reimpell Podwozia samochodów Podstawy konstrukcji. Wyd. KiŁ, Warszawa 1997.
7.  A. Zieliński Konstrukcja nadwozi samochodów osobowych i pochodnych. Wyd. KiŁ, Warszawa 1998. 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W_03: </w:t>
      </w:r>
    </w:p>
    <w:p>
      <w:pPr/>
      <w:r>
        <w:rPr/>
        <w:t xml:space="preserve">posiada podstawową wiedzę dotyczącą zasady działania, budowy wybranych podukładów oraz charakterystyk technicznych pojazdów kołowo-drogowych </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W_06: </w:t>
      </w:r>
    </w:p>
    <w:p>
      <w:pPr/>
      <w:r>
        <w:rPr/>
        <w:t xml:space="preserve">posiada podstawową wiedzę dotyczącą charakterystyk technicznych latających środków transp.</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rozpoznania i scharakteryzowania środka transportu zgodnie z poznana klasyfikacją oraz umie określić jego przeznaczenie transportowe</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 Tr1A_U19</w:t>
      </w:r>
    </w:p>
    <w:p>
      <w:pPr>
        <w:spacing w:before="20" w:after="190"/>
      </w:pPr>
      <w:r>
        <w:rPr>
          <w:b/>
          <w:bCs/>
        </w:rPr>
        <w:t xml:space="preserve">Powiązane efekty obszarowe: </w:t>
      </w:r>
      <w:r>
        <w:rPr/>
        <w:t xml:space="preserve">T1A_U01, T1A_U16, T1A_U14</w:t>
      </w:r>
    </w:p>
    <w:p>
      <w:pPr>
        <w:keepNext w:val="1"/>
        <w:spacing w:after="10"/>
      </w:pPr>
      <w:r>
        <w:rPr>
          <w:b/>
          <w:bCs/>
        </w:rPr>
        <w:t xml:space="preserve">Efekt U_02: </w:t>
      </w:r>
    </w:p>
    <w:p>
      <w:pPr/>
      <w:r>
        <w:rPr/>
        <w:t xml:space="preserve">posiada umiejetność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2026-01-13T07:00:17+01:00</dcterms:created>
  <dcterms:modified xsi:type="dcterms:W3CDTF">2026-01-13T07:00:17+01:00</dcterms:modified>
</cp:coreProperties>
</file>

<file path=docProps/custom.xml><?xml version="1.0" encoding="utf-8"?>
<Properties xmlns="http://schemas.openxmlformats.org/officeDocument/2006/custom-properties" xmlns:vt="http://schemas.openxmlformats.org/officeDocument/2006/docPropsVTypes"/>
</file>