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S1A_W01: </w:t>
      </w:r>
    </w:p>
    <w:p>
      <w:pPr/>
      <w:r>
        <w:rPr/>
        <w:t xml:space="preserve">posiada gruntowną wiedzę z zakresu globalizacji rynków, segmentacji, marketingu firm globalnych, globalnych sieci dystrybucyjnych, badań marketingowych na globalnych rynkach, produktach globalnych, eurosegmentach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S1A_U01: </w:t>
      </w:r>
    </w:p>
    <w:p>
      <w:pPr/>
      <w:r>
        <w:rPr/>
        <w:t xml:space="preserve">Posiada umiejętność zaprojektowania badań marketingowych na globalnych rynkach, potrafi rozpoznać strategie marketingowe firm globalnych, przeprowadzić badanie marketingowe typu desk research,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Posiada umiejętność rozpoznawania sygnałów rynkowych, konieczność ciągłego uczenia się, podpatrywania innych uczestników rynku, twórczego rozwijania inicjatyw rynkowych, akceptację nowoczenych technologii i narzędzi marketingu, otwartość na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2026-09-10T04:41:08+02:00</dcterms:created>
  <dcterms:modified xsi:type="dcterms:W3CDTF">2026-09-10T04:41:08+02:00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