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prognozować procesy i zjawiska społeczne związane z popytem i zachowaniem nabywców na rynku z wykorzystaniem standardowych metod i narzędzi właściwych dla działalności marketingowej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egzamin pisemny: </w:t>
      </w:r>
    </w:p>
    <w:p>
      <w:pPr/>
      <w:r>
        <w:rPr/>
        <w:t xml:space="preserve">potrafi prawidłowo interpretować zjawiska społeczne (kulturowe, polityczne, prawne, ekonomiczne) i odnosić je do działalności marketingowej organizacji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2026-06-24T11:06:09+02:00</dcterms:created>
  <dcterms:modified xsi:type="dcterms:W3CDTF">2026-06-24T11:06:09+02:00</dcterms:modified>
</cp:coreProperties>
</file>

<file path=docProps/custom.xml><?xml version="1.0" encoding="utf-8"?>
<Properties xmlns="http://schemas.openxmlformats.org/officeDocument/2006/custom-properties" xmlns:vt="http://schemas.openxmlformats.org/officeDocument/2006/docPropsVTypes"/>
</file>