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Akwizycja i przetwarzanie danych z wykorzystaniem LabVIEW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Wiesław WINIECKI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LABV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18 godz. wykładu
12 godz. laboratorium
przygotowanie do wykładu 9 godz.
przygotowanie do laboratorium 8 godz.
przygotowanie do kolokwium 10 godz
sprawozdania z ćwiczeń laboratoryjnych 8 godz.
konsultacje 10 godz.
Razem 75 godz - 3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18 godz. wykładu
12 godz. laboratorium
konsultacje 10 godz.
Razem 40 godz - 2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
12 godz. laboratorium
przygotowanie do laboratorium 8 godz.
sprawozdania z ćwiczeń laboratoryjnych 8 godz.
Razem 28 godz - 1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36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przekazanie wiedzy i umiejętności niezbędnych do wykorzystania środowiska LabVIEW w rozwiązywaniu problemów pomiarowych spotykanych w praktyce inżynierskiej Inżynierii Biomedycznej.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Wprowadzenie do systemów pomiarowo-sterujacych (definicje, klasyfikacja, struktury, interfejsy, urządzenia). Metodyka projektowania oprogramowania przyrządów i systemów. Narzędzia wspomagania projektowania oprogramowania przyrządów i systemów.
Wprowadzenie do graficznego środowiska programowego LabVIEW (koncepcja programowania graficznego, okna środowiska, panel sterowania, graficzny kod źródłowy). Podstawowe obiekty wejściowe, wyjściowe  i funkcyjne (kontrolki numeryczne, pętle, wykresy). Podstawowe i zaawansowane funkcje analizy i przetwarzania danych. Projektowanie prostego systemu sterowania i akwizycji danych w środowisku LabVIEW. Komunikacja z rzeczywistymi przyrządami pomiarowymi i sterującymi. Przykłady zastowań LabVIEW w bioinżynierii.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ocenę końcową składają się:
ocena z laboratoriów z wagą 0,3;
ocena z kolokwiów z wagą 0,7.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Winiecki W.: Organizacja komputerowych systemów pomiarowych. OWPW 2006.
Winiecki W., Nowak J., Stanik S.: „Graficzne zintegrowane środowiska programowe do projektowania komputerowych systemów pomiarowo-kontrolnych”. Wyd. MIKOM, Warszawa 2001.
Opisy firmowe LabVIEW.
Tłaczała W.: "Środowisko LabVIEW w eksperymencie wspomaganym komputerowo", WNT 2002 
Świsulski D.: "Komputerowa technika pomiarowa. Oprogramowanie wirtualnych przyrządów pomiarowych w LabVIEW", Agenda Wydawnicza PAK-u, Warszawa 2005 
Chruściel M.: "LabVIEW w praktyce", BTC, 2008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 systemie ERES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jest prowadzony w wymiarze 18 godzin wykładu i 12 godzin laboratoriów.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ma szczegółową wiedzę związaną z podstawami systemów pomiarowo-sterujących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keepNext w:val="1"/>
        <w:spacing w:after="10"/>
      </w:pPr>
      <w:r>
        <w:rPr>
          <w:b/>
          <w:bCs/>
        </w:rPr>
        <w:t xml:space="preserve">Efekt W2: </w:t>
      </w:r>
    </w:p>
    <w:p>
      <w:pPr/>
      <w:r>
        <w:rPr/>
        <w:t xml:space="preserve">zna podstawowe narzędzie (LabVIEW) stosowane przy projektowaniu prostego systemu sterowania i akwizycji danych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keepNext w:val="1"/>
        <w:spacing w:after="10"/>
      </w:pPr>
      <w:r>
        <w:rPr>
          <w:b/>
          <w:bCs/>
        </w:rPr>
        <w:t xml:space="preserve">Efekt W3: </w:t>
      </w:r>
    </w:p>
    <w:p>
      <w:pPr/>
      <w:r>
        <w:rPr/>
        <w:t xml:space="preserve">zna podstawy metodyki projektowania oprogramowania prostych systemów sterowania i akwizycji danych pomiarowych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U2: </w:t>
      </w:r>
    </w:p>
    <w:p>
      <w:pPr/>
      <w:r>
        <w:rPr/>
        <w:t xml:space="preserve">potrafi zaprojektować panel graficzny w LabVIEW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protokół z przeprowadzonego ćwiczenia laboratoryjnego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K_U08, K_U19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T1A_U14</w:t>
      </w:r>
    </w:p>
    <w:p>
      <w:pPr>
        <w:keepNext w:val="1"/>
        <w:spacing w:after="10"/>
      </w:pPr>
      <w:r>
        <w:rPr>
          <w:b/>
          <w:bCs/>
        </w:rPr>
        <w:t xml:space="preserve">Efekt U3: </w:t>
      </w:r>
    </w:p>
    <w:p>
      <w:pPr/>
      <w:r>
        <w:rPr/>
        <w:t xml:space="preserve">potrafi oprogramować i uruchomić prosty system akwizycji danych w standardzie IEC-625 z wykorzystaniem LabVIEW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protokół z przeprowadzonego ćwiczenia laboratoryjnego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T1A_U10, T1A_U14</w:t>
      </w:r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potrafi obsługiwać środowisko LabVIEW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protokół z przeprowadzonego ćwiczenia laboratoryjnego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keepNext w:val="1"/>
        <w:spacing w:after="10"/>
      </w:pPr>
      <w:r>
        <w:rPr>
          <w:b/>
          <w:bCs/>
        </w:rPr>
        <w:t xml:space="preserve">Efekt U4: </w:t>
      </w:r>
    </w:p>
    <w:p>
      <w:pPr/>
      <w:r>
        <w:rPr/>
        <w:t xml:space="preserve">potrafi przetwarzć dane pomiarowe z wykorzystaniem biblioteki matematycznej LabVIEW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protokół z przeprowadzonego ćwiczenia laboratoryjnego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K1: </w:t>
      </w:r>
    </w:p>
    <w:p>
      <w:pPr/>
      <w:r>
        <w:rPr/>
        <w:t xml:space="preserve">potrafi pracować w grupie laboratoryjnej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protokoły z laboratoriów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2025-05-10T14:37:57+02:00</dcterms:created>
  <dcterms:modified xsi:type="dcterms:W3CDTF">2025-05-10T14:37:57+02:00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