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PW1: </w:t>
      </w:r>
    </w:p>
    <w:p>
      <w:pPr/>
      <w:r>
        <w:rPr/>
        <w:t xml:space="preserve">Potrafi wskazać metody kształtowania właściwości biologicznych biomateriałów i zastosowanych metod inżynierii powierzchni. Umie wskazać przykłady zastosowań biomateriałów w implantologii oraz trendy rozwojowe w opracowywaniu nowej generacji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opracować koncepcję projektowania właściwości biomateriałów w funkcji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2026-05-06T19:18:25+02:00</dcterms:created>
  <dcterms:modified xsi:type="dcterms:W3CDTF">2026-05-06T19:18:25+02:00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