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/Wiesław Koźlak/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CS1A_20</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zaliczenia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analiza statystyczna w przemyśle procesowym.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kolokwium na ocenę: &lt; 51 pkt. - 2,0 (niedostateczny),
51-60 - 3,0 (dostateczny),
61-70 - 3,5 (dość dobry),
71-80 - 4,0 (dobry),
81-90 - 4,5 (ponad dobry),
91-100 - 5,0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i opisu działania aparatury pomiarowej i układów kontrolno-pomiarowych; stosowania elektronicznych układów sterowania.</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charakterystyki surowców stosowanych w technologii chemicznej; doboru odpowiednich surowców w zależności od kierunku ich przeróbki; realizacji i kontroli procesu technologicznego; uzyskiwania podstawowych produktów, ich identyfikacji oraz określania właściwości fizykochemicznych, postępowania z produktami ubocznymi i odpadami; stosowania technologii przyjaznych środowisku.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Kolokwium (W1-W5)</w:t>
      </w:r>
    </w:p>
    <w:p>
      <w:pPr>
        <w:spacing w:before="60"/>
      </w:pPr>
      <w:r>
        <w:rPr/>
        <w:t xml:space="preserve">Weryfikacja: </w:t>
      </w:r>
    </w:p>
    <w:p>
      <w:pPr>
        <w:spacing w:before="20" w:after="190"/>
      </w:pPr>
      <w:r>
        <w:rPr/>
        <w:t xml:space="preserve">Ma ogólną wiedzę z zakresu pomiarów technologicznych; aparatury kontrolno-pomiarowej w przemyśle chemicznym; elementów automatyki przemysłowej; sterowania procesami technologicznymi.</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posługiwać się technikami informacyjno-komunikacyjnymi właściwymi do realizacji zadań typowych w działalności inżynierskiej z zakresu technologii chemicznej.</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U10_03: </w:t>
      </w:r>
    </w:p>
    <w:p>
      <w:pPr/>
      <w:r>
        <w:rPr/>
        <w:t xml:space="preserve">Potrafi określać zależności pomiędzy procesami produkcji chemicznej a właściwościami chemicznymi i fizykochemicznymi produktów przerobu ropy naftowej i produktów polimerowych. </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C1A_U10_03</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(W1-W5)</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2026-10-02T17:09:11+02:00</dcterms:created>
  <dcterms:modified xsi:type="dcterms:W3CDTF">2026-10-02T17:09:11+02:00</dcterms:modified>
</cp:coreProperties>
</file>

<file path=docProps/custom.xml><?xml version="1.0" encoding="utf-8"?>
<Properties xmlns="http://schemas.openxmlformats.org/officeDocument/2006/custom-properties" xmlns:vt="http://schemas.openxmlformats.org/officeDocument/2006/docPropsVTypes"/>
</file>