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WS1A_01_03/04</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poziom A2/B1.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kontakty towarzyskie, zasady dobrego wychowania (savoir-vivre),
- różnice pokoleniowe,  czasy minione/współczesne,
- analiza wybranych fragmentów literackich,
- przygotowanie drzewa genealogicznego swojej rodziny, prezentacja,
- kolokwium (esej),
- niemieckie regiony, aglomeracje,
- Zagłębie Ruhry, fragment filmu DVD, ćwiczenia leksykalne, rozumienie tekstu słuchanego,
Prezentacja wybranego regionu/miasta niemieckiego,
- kolokwium gramatyczno-leksykalne,
- migracje, historia, przyczyny,
- współczesne przykłady migracji ludności, dyskusja,
problemy imigrantów, doświadczenia przyjaciół, znajomych, rodziny,
Europa, polityka europejska,
Opracowanie słownictwa z dziedziny polityki na podstawie artykułów prasowych
- testy i ćwiczenia przygotowujące do egzaminu na poziomie  B2
- testy i ćwiczenia zbiorcze przygotowujące do egzaminu (poziom A2)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(niemieckojęzyczne serwisy informacyjne, wybrane strony niemieckojęzyczne w Internecie).  Anali</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2025-05-30T20:49:53+02:00</dcterms:created>
  <dcterms:modified xsi:type="dcterms:W3CDTF">2025-05-30T20:49:53+02:00</dcterms:modified>
</cp:coreProperties>
</file>

<file path=docProps/custom.xml><?xml version="1.0" encoding="utf-8"?>
<Properties xmlns="http://schemas.openxmlformats.org/officeDocument/2006/custom-properties" xmlns:vt="http://schemas.openxmlformats.org/officeDocument/2006/docPropsVTypes"/>
</file>