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- 150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
</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podstawowe pojęcia mechaniki płynów. Ma podstawową wiedzę w zakresie statyki i dynamiki płynów.</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keepNext w:val="1"/>
        <w:spacing w:after="10"/>
      </w:pPr>
      <w:r>
        <w:rPr>
          <w:b/>
          <w:bCs/>
        </w:rPr>
        <w:t xml:space="preserve">Efekt K03_01: </w:t>
      </w:r>
    </w:p>
    <w:p>
      <w:pPr/>
      <w:r>
        <w:rPr/>
        <w:t xml:space="preserve">Potrafi pracować indywidualnie i w zespole podczas prowadzenia zadań badawczych.</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interpertacji i weryfikacji  danych i wykrzystywać je w praktyce.</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plynów. Potrafi obliczać ciśnienia i parcia. Potrafi projektować układy rurociągów.</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2026-10-03T04:46:39+02:00</dcterms:created>
  <dcterms:modified xsi:type="dcterms:W3CDTF">2026-10-03T04:46:39+02:00</dcterms:modified>
</cp:coreProperties>
</file>

<file path=docProps/custom.xml><?xml version="1.0" encoding="utf-8"?>
<Properties xmlns="http://schemas.openxmlformats.org/officeDocument/2006/custom-properties" xmlns:vt="http://schemas.openxmlformats.org/officeDocument/2006/docPropsVTypes"/>
</file>