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- 10, przygotowanie do kolokwium - 10,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nabycie przez studentów umiejętności praktycznych obsługi edytora tekstu i arkusza kalkulacyjnego na poziomie, pozwalającym zdobycie certyfikatu ECDL-A, w zakresie odpowiednich modułów.
</w:t>
      </w:r>
    </w:p>
    <w:p>
      <w:pPr>
        <w:keepNext w:val="1"/>
        <w:spacing w:after="10"/>
      </w:pPr>
      <w:r>
        <w:rPr>
          <w:b/>
          <w:bCs/>
        </w:rPr>
        <w:t xml:space="preserve">Treści kształcenia: </w:t>
      </w:r>
    </w:p>
    <w:p>
      <w:pPr>
        <w:spacing w:before="20" w:after="190"/>
      </w:pPr>
      <w:r>
        <w:rPr/>
        <w:t xml:space="preserve">L1 - Przetwarzanie tekstu na poziomie zaawansowanym wymaga od studenta efektywnej obsługi programów do przetwarzania tekstu, na bardziej niż podstawowym poziomie umiejętności jak również zdolności opracowania dokumentów zawierających zaawansowane formy prezentacji informacji: swobodne osadzanie ilustracji w dokumencie, formatowanie tekstu poprzez manipulacji krojami pisma, efektami graficznymi i rozmieszczeniem składników na stronie. L2 - Określanie własności prezentacji dokumentu, tworzenie i modyfikacji tabel, formularzy, wykresów itp. Student powinien posiadać umiejętności definiowania i posługiwania się makropoleceniami oraz sprawnie realizować zaawansowane zadania z zakresu korespondencji seryjnej. L3 - Arkusz kalkulacyjny na poziom zaawansowanym wymaga od studenta efektywnej obsługi arkusza kalkulacyjnego, na bardziej niż podstawowym poziomie umiejętności jak również zdolności opracowania wyników zawierających zaawansowane formy prezentacji informacji. L4 – Student powinien znać zasady formatowanie danych numerycznych, tekstu, grafiki, wykresów itp. L5 - Student powinien wykazać się kompetencjami w zakresie wykorzystania funkcji arytmetycznych, logicznych, statystycznych, daty i czasu oraz finansowych wbudowanych w aplikacji arkusza kalkulacyjnego. L6 - Student powinien także posiadać umiejętności posługiwania się narzędziami analitycznymi dostępnymi z poziomu aplikacji arkusza kalkulacyjnego.
</w:t>
      </w:r>
    </w:p>
    <w:p>
      <w:pPr>
        <w:keepNext w:val="1"/>
        <w:spacing w:after="10"/>
      </w:pPr>
      <w:r>
        <w:rPr>
          <w:b/>
          <w:bCs/>
        </w:rPr>
        <w:t xml:space="preserve">Metody oceny: </w:t>
      </w:r>
    </w:p>
    <w:p>
      <w:pPr>
        <w:spacing w:before="20" w:after="190"/>
      </w:pPr>
      <w:r>
        <w:rPr/>
        <w:t xml:space="preserve">Podstawą do uzyskania pozytywnej oceny z przedmiotu jest obecność na zajęciach laboratoryjnych i pozytywne zaliczenie dwóch kolokwiów. Kolokwium nr 1 - z zakresu zaawansowanych technik formatowania dokumentów tekstowych oraz kolokwium nr 2 - z umiejętności obsługi i tworzenia algorytmów obliczeniowych w arkuszu kalkulacyjnym. Ocena końcowa jest średnią arytmetyczną z dwóch kolokwiów. Dopuszcza się zaliczenie dwóch ćwiczeń, na których student był nieobecny z powodów losowych na konsultacjach u prowadzącego zajęcia. Na ostatnich zajęciach w semestrze można również poprawić ocenę z jednego kolokwium. Student, który posiada certyfikat ECDL lub ECDL-A może być zwolniony z zajęć i otrzymać ocenę 5,0. Pozostałe kwestie regulaminowe roztrzyga Regulamin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Kopertowska M., Sikorki W., Arkusze kalkulacyjne, Wydawnictwo MIKOM, Warszawa 2006.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Rozumie budowę i posiada umiejętności korzystania z literatury. Potrafi z tych danych korzystać w pracy inżynierskiej.</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przy pomocy arkusza kalkulacyjnego realizować zadania obliczeniowe dla zadanych algorytmów.</w:t>
      </w:r>
    </w:p>
    <w:p>
      <w:pPr>
        <w:spacing w:before="60"/>
      </w:pPr>
      <w:r>
        <w:rPr/>
        <w:t xml:space="preserve">Weryfikacja: </w:t>
      </w:r>
    </w:p>
    <w:p>
      <w:pPr>
        <w:spacing w:before="20" w:after="190"/>
      </w:pPr>
      <w:r>
        <w:rPr/>
        <w:t xml:space="preserve">Kolokwium nr 2.</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keepNext w:val="1"/>
        <w:spacing w:after="10"/>
      </w:pPr>
      <w:r>
        <w:rPr>
          <w:b/>
          <w:bCs/>
        </w:rPr>
        <w:t xml:space="preserve">Efekt U15_03: </w:t>
      </w:r>
    </w:p>
    <w:p>
      <w:pPr/>
      <w:r>
        <w:rPr/>
        <w:t xml:space="preserve">Potrafi opracowywać publikacje o charakterze technicznym w edytorze tekstu z zastosowaniem wzorów, wykresów i grafiki.</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p>
      <w:pPr>
        <w:keepNext w:val="1"/>
        <w:spacing w:after="10"/>
      </w:pPr>
      <w:r>
        <w:rPr>
          <w:b/>
          <w:bCs/>
        </w:rPr>
        <w:t xml:space="preserve">Efekt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efekty kierunkowe: </w:t>
      </w:r>
      <w:r>
        <w:rPr/>
        <w:t xml:space="preserve">M1A_K05_01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2026-10-03T15:35:35+02:00</dcterms:created>
  <dcterms:modified xsi:type="dcterms:W3CDTF">2026-10-03T15:35:35+02:00</dcterms:modified>
</cp:coreProperties>
</file>

<file path=docProps/custom.xml><?xml version="1.0" encoding="utf-8"?>
<Properties xmlns="http://schemas.openxmlformats.org/officeDocument/2006/custom-properties" xmlns:vt="http://schemas.openxmlformats.org/officeDocument/2006/docPropsVTypes"/>
</file>