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ZISK52/1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 - Zintegrowane Systemy Gospodarki Odpadami – wiadomości wstępne: podstawowe pojęcia, nazewnictwo. Podstawy prawne, organizacyjne i ekonomiczne tworzenia ZSGO.  Obiekty systemu gospodarki odpadami. Zasady programowania i projektowania systemów wywozu i unieszkodliwiania odpadów komunalnych: wybór optymalnych technologii unieszkodliwiania odpadów, wybór optymalnych lokalizacji obiektów systemu gospodarki odpadami, ZSGO. Modele optymalizacyjne stosowane w projektowaniu ZSGO. Kryteria optymalizacji.</w:t>
      </w:r>
    </w:p>
    <w:p>
      <w:pPr>
        <w:keepNext w:val="1"/>
        <w:spacing w:after="10"/>
      </w:pPr>
      <w:r>
        <w:rPr>
          <w:b/>
          <w:bCs/>
        </w:rPr>
        <w:t xml:space="preserve">Metody oceny: </w:t>
      </w:r>
    </w:p>
    <w:p>
      <w:pPr>
        <w:spacing w:before="20" w:after="190"/>
      </w:pPr>
      <w:r>
        <w:rPr/>
        <w:t xml:space="preserve">Warunkiem zaliczenia przedmiotu jest zaliczenie kolokwiów z zakresu wykładów (dwa kolokwia w semestrze; ocenę końcową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2026-10-01T21:06:54+02:00</dcterms:created>
  <dcterms:modified xsi:type="dcterms:W3CDTF">2026-10-01T21:06:54+02:00</dcterms:modified>
</cp:coreProperties>
</file>

<file path=docProps/custom.xml><?xml version="1.0" encoding="utf-8"?>
<Properties xmlns="http://schemas.openxmlformats.org/officeDocument/2006/custom-properties" xmlns:vt="http://schemas.openxmlformats.org/officeDocument/2006/docPropsVTypes"/>
</file>