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ZIWW06</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uzyskują stosowny poziom wiedzy i umiejętności zgodny z wymogami stawianymi do uzyskania Europejskiego Certyfikatu Umiejętności Komputerowych (ECDL), tzn. praktyczną umiejętność wykorzystania oprogramowania komputerowego do edycji tekstów, opracowania danych doświadczalnych, tworzenia prezentacji multimedialnych oraz korzystania z zasobów Internetu.</w:t>
      </w:r>
    </w:p>
    <w:p>
      <w:pPr>
        <w:keepNext w:val="1"/>
        <w:spacing w:after="10"/>
      </w:pPr>
      <w:r>
        <w:rPr>
          <w:b/>
          <w:bCs/>
        </w:rPr>
        <w:t xml:space="preserve">Treści kształcenia: </w:t>
      </w:r>
    </w:p>
    <w:p>
      <w:pPr>
        <w:spacing w:before="20" w:after="190"/>
      </w:pPr>
      <w:r>
        <w:rPr/>
        <w:t xml:space="preserve">L - Przetwarzanie tekstów: strukturalizacja dokumentu, style, spis treści, zaawansowane funkcje – tworzenie  tabeli, kore-spondencja seryjna. Wykorzystanie arkuszy kalkulacyjnych: budowa arkusza, edycja arkusza, wprowadzanie danych, funkcje standardowe, funkcje użytkownika, graficzna prezentacja danych, opracowanie danych doświadczalnych w arkuszu, arkusz jako baza danych. Baza danych: pojęcia tabela, rekord, pole, klucz; relacje między tabelami; operacje podstawowe – dodawanie, usuwanie i modyfikowanie danych; praca z formularzami – zapytania (kwerendy); raporty tabeli przestawnych. Grafika menedżerska i prezentacyjna: struktura prezentacji – slajd, konspekt, notatki, wykorzy-stanie funkcji animacji. Sieci komputerowe: poczta elektroniczna, WWW, ftp. Integracja oprogramowania: współpra-ca wybranych aplikacji komputerowych z punktu widzenia komputerowego wspomagania projektowania.</w:t>
      </w:r>
    </w:p>
    <w:p>
      <w:pPr>
        <w:keepNext w:val="1"/>
        <w:spacing w:after="10"/>
      </w:pPr>
      <w:r>
        <w:rPr>
          <w:b/>
          <w:bCs/>
        </w:rPr>
        <w:t xml:space="preserve">Metody oceny: </w:t>
      </w:r>
    </w:p>
    <w:p>
      <w:pPr>
        <w:spacing w:before="20" w:after="190"/>
      </w:pPr>
      <w:r>
        <w:rPr/>
        <w:t xml:space="preserve">Bieżącej ocenie będzie podlegało każde z zadań, oceniane w skali 2-5. Warunkiem zaliczenia laboratorium jest uzyskanie pozytywnych ocen ze wszystkich zadań. Ocena końcowa to średnia z ocen cząstkowych.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Gleen Brokshear J., Informatyka w ogólnym zarysie, WNT, Warszawa 2003.
2. Kopertowska M., Przetwarzanie tekstów, Europejskie Komputerowe Prawo Jazdy, MIKOM, 1998.
3. Kopertowska M., Bazy danych, Europejskie Komputerowe Prawo Jazdy, MIKOM, 1999.
4. Kopertowska M., Grafika menedżerska i prezentacyjna, Europejskie Komputerowe Prawo Jazdy, MIKOM, 1999.
5. Wojciechowski A., Usługi w sieciach informatycznych, Europejskie Komputerowe Prawo Jazdy, MIKOM,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2026-05-02T11:54:53+02:00</dcterms:created>
  <dcterms:modified xsi:type="dcterms:W3CDTF">2026-05-02T11:54:53+02:00</dcterms:modified>
</cp:coreProperties>
</file>

<file path=docProps/custom.xml><?xml version="1.0" encoding="utf-8"?>
<Properties xmlns="http://schemas.openxmlformats.org/officeDocument/2006/custom-properties" xmlns:vt="http://schemas.openxmlformats.org/officeDocument/2006/docPropsVTypes"/>
</file>