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Jerzy Zieliński/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ICP09</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w:t>
      </w:r>
    </w:p>
    <w:p>
      <w:pPr>
        <w:keepNext w:val="1"/>
        <w:spacing w:after="10"/>
      </w:pPr>
      <w:r>
        <w:rPr>
          <w:b/>
          <w:bCs/>
        </w:rPr>
        <w:t xml:space="preserve">Treści kształcenia: </w:t>
      </w:r>
    </w:p>
    <w:p>
      <w:pPr>
        <w:spacing w:before="20" w:after="190"/>
      </w:pPr>
      <w:r>
        <w:rPr/>
        <w:t xml:space="preserve">L-1. Zajęcia organizacyjne. Szkolenie bhp i ppoż.2. Wyznaczanie ciepła rozpuszczania substancji trudno rozpuszczalnych 3. Wyznaczanie cząstkowych objętości molowych, 4. Wyznaczanie stałej równowagi i entalpii reakcji5.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(do pomiarów stanu dyspersji żelatyny w wodnym roztworze wykorzystywany jest turbidymetr Hach 2100AN), 13. Wyznaczanie masy cząsteczkowej polimeru metodą wiskozymetryczną, 14. Wyznaczanie izotermy adsorpcji jodu na węglu aktywnym, 15. Wyznaczanie izotermy adsorpcji substancji rozpuszczonej na granicy faz roztwór – powietrze (równolegle z wykonaniem ćwiczenia metodą Rebindera studenci poznają tensometryczne metody wyznaczania napięcia powierzchniowego z wykorzystaniem aparatu K-100) lub do wyboru, 1. Ciepło spalania związków organicznych, 2. Liniowa zależność entalpii swobodnej, 3. Kinetyka hydrolizy octanu etylu w środowisku alkalicznym, 4. Wpływ siły jonowej i temperatury na szybkość reakcji utleniania jonów jodkowych przez jony nadtlenosiarczanowe, 5. Badanie kinetyki reakcji heterofazowych, 6. Wyznaczanie współczynnika podziału oraz stałej dimeryzacji kwasu benzoesowego, 7. Wyznaczanie masy molowej metodą krioskopową, 8. Konduktometryczne wyznaczanie stałej dysocjacji słabego elektrolitu  9. Wyznaczanie liczb przenoszenia jonów metodą Hittorfa, 10. Wyznaczanie termodynamicznych parametrów reakcji chemicznej z pomiarów SEM ogniwa, 11. Badanie kinetyki reakcji elektrodowych, 12. Elektroforeza koloidów, 13. Wyznaczanie składu jonów kompleksowych metodą widm absorpcyjnych</w:t>
      </w:r>
    </w:p>
    <w:p>
      <w:pPr>
        <w:keepNext w:val="1"/>
        <w:spacing w:after="10"/>
      </w:pPr>
      <w:r>
        <w:rPr>
          <w:b/>
          <w:bCs/>
        </w:rPr>
        <w:t xml:space="preserve">Metody oceny: </w:t>
      </w:r>
    </w:p>
    <w:p>
      <w:pPr>
        <w:spacing w:before="20" w:after="190"/>
      </w:pPr>
      <w:r>
        <w:rPr/>
        <w:t xml:space="preserve">Warunkiem zaliczenia przedmiotu jest zdanie egzaminu w formie pisemnej i ustnej po uzyskaniu zaliczenia ćwiczeń audytoryjnych na podstawie 2 kolokwiów pisemnych oraz ocen uzyskanych w trakcie.Ocena z ćwiczeń rachunkowych ma wagę 0,4 a z egzaminu 0,6.</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2026-09-13T10:10:24+02:00</dcterms:created>
  <dcterms:modified xsi:type="dcterms:W3CDTF">2026-09-13T10:10:24+02:00</dcterms:modified>
</cp:coreProperties>
</file>

<file path=docProps/custom.xml><?xml version="1.0" encoding="utf-8"?>
<Properties xmlns="http://schemas.openxmlformats.org/officeDocument/2006/custom-properties" xmlns:vt="http://schemas.openxmlformats.org/officeDocument/2006/docPropsVTypes"/>
</file>