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prof./Barbara Pacewska/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ICP05</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materii.Celem nauczania przedmiotu jest zrozumienie organizacji materii na poziomie molekularnym i makroskopowym.</w:t>
      </w:r>
    </w:p>
    <w:p>
      <w:pPr>
        <w:keepNext w:val="1"/>
        <w:spacing w:after="10"/>
      </w:pPr>
      <w:r>
        <w:rPr>
          <w:b/>
          <w:bCs/>
        </w:rPr>
        <w:t xml:space="preserve">Treści kształcenia: </w:t>
      </w:r>
    </w:p>
    <w:p>
      <w:pPr>
        <w:spacing w:before="20" w:after="190"/>
      </w:pPr>
      <w:r>
        <w:rPr/>
        <w:t xml:space="preserve">W-Wstępne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VSEPR.Budowa homordzeniowych i heterordzeniowych pierwiastków dodatkowych i poddodatkowych. Budowa układów makroskopowych. Oddziaływania miedzydrobinowe. Elementy opisu stanu gazowego, ciekłego, krystalicznego i szklistego materii.Równowaga między fazami. Granice międzyfazowe. Rozproszenie koloidalne. Wybrane właściwości w roztworach drobinowych Prężność pary nad roztworem. Właściwości optyczne roztworów. Równowagi jonowe w roztworach.Ć - Program ćwiczeń ma na celu utrwalenie i sprawdzenie treści programowych podawanych na wykładach.</w:t>
      </w:r>
    </w:p>
    <w:p>
      <w:pPr>
        <w:keepNext w:val="1"/>
        <w:spacing w:after="10"/>
      </w:pPr>
      <w:r>
        <w:rPr>
          <w:b/>
          <w:bCs/>
        </w:rPr>
        <w:t xml:space="preserve">Metody oceny: </w:t>
      </w:r>
    </w:p>
    <w:p>
      <w:pPr>
        <w:spacing w:before="20" w:after="190"/>
      </w:pPr>
      <w:r>
        <w:rPr/>
        <w:t xml:space="preserve">Na ocenę końcową składa się średnia ważona stanowiąca 2/3 oceny z egzaminu i 1/3 oceny z ćwiczeń audytoryjnych. Ocena z ćwiczeń audytoryjnych obejmuje oceny z kolokwiów cząstkowych przeprowadzanych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ogólna, PWN, Warszawa, 1969
2. Górski A., Chemia, tom I, PWN, Warszawa, 1974
3. Bielański A., Podstawy chemii nieorganicznej, tom I - III, PWN, Warszawa, 1999
4. Jonem L., Atkins P., Chemia Ogólna,  cząsteczki, materia, reakcje,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2026-09-13T14:35:36+02:00</dcterms:created>
  <dcterms:modified xsi:type="dcterms:W3CDTF">2026-09-13T14:35:36+02:00</dcterms:modified>
</cp:coreProperties>
</file>

<file path=docProps/custom.xml><?xml version="1.0" encoding="utf-8"?>
<Properties xmlns="http://schemas.openxmlformats.org/officeDocument/2006/custom-properties" xmlns:vt="http://schemas.openxmlformats.org/officeDocument/2006/docPropsVTypes"/>
</file>