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w:t>
      </w:r>
    </w:p>
    <w:p>
      <w:pPr>
        <w:keepNext w:val="1"/>
        <w:spacing w:after="10"/>
      </w:pPr>
      <w:r>
        <w:rPr>
          <w:b/>
          <w:bCs/>
        </w:rPr>
        <w:t xml:space="preserve">Koordynator przedmiotu: </w:t>
      </w:r>
    </w:p>
    <w:p>
      <w:pPr>
        <w:spacing w:before="20" w:after="190"/>
      </w:pPr>
      <w:r>
        <w:rPr/>
        <w:t xml:space="preserve">prof./Barbara Pacewska/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ICP05</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wiadomościami dotyczącymi budowy materii.Celem nauczania przedmiotu jest zrozumienie organizacji materii na poziomie molekularnym i makroskopowym.</w:t>
      </w:r>
    </w:p>
    <w:p>
      <w:pPr>
        <w:keepNext w:val="1"/>
        <w:spacing w:after="10"/>
      </w:pPr>
      <w:r>
        <w:rPr>
          <w:b/>
          <w:bCs/>
        </w:rPr>
        <w:t xml:space="preserve">Treści kształcenia: </w:t>
      </w:r>
    </w:p>
    <w:p>
      <w:pPr>
        <w:spacing w:before="20" w:after="190"/>
      </w:pPr>
      <w:r>
        <w:rPr/>
        <w:t xml:space="preserve">W-Wstępne wiadomości o materii - teoremat zachowania i ziarnistości struktury. Cząstki elementarne. Budowa i trwałość jądra atomowego. Przemiany jąder atomowych. Budowa rdzeni atomowych. Struktura powłok walencyjnych. Klasyfikacja pierwiastków. Elektroujemność. Drobiny jednordzeniowe pierwiastków głównych. Elementy teorii wiązania chemicznego. Typy wiązań. Drobiny heteropierwiastkowe pierwiastków rodzin głównych. Opis drobin. Teoria wiązań walencyjnych (VB), teoria orbitali molekularnych (MO), metoda VSEPR.Budowa homordzeniowych i heterordzeniowych pierwiastków dodatkowych i poddodatkowych. Budowa układów makroskopowych. Oddziaływania miedzydrobinowe. Elementy opisu stanu gazowego, ciekłego, krystalicznego i szklistego materii.Równowaga między fazami. Granice międzyfazowe. Rozproszenie koloidalne. Wybrane właściwości w roztworach drobinowych Prężność pary nad roztworem. Właściwości optyczne roztworów. Równowagi jonowe w roztworach.Ć - Program ćwiczeń ma na celu utrwalenie i sprawdzenie treści programowych podawanych na wykładach.</w:t>
      </w:r>
    </w:p>
    <w:p>
      <w:pPr>
        <w:keepNext w:val="1"/>
        <w:spacing w:after="10"/>
      </w:pPr>
      <w:r>
        <w:rPr>
          <w:b/>
          <w:bCs/>
        </w:rPr>
        <w:t xml:space="preserve">Metody oceny: </w:t>
      </w:r>
    </w:p>
    <w:p>
      <w:pPr>
        <w:spacing w:before="20" w:after="190"/>
      </w:pPr>
      <w:r>
        <w:rPr/>
        <w:t xml:space="preserve">Na ocenę końcową składa się średnia ważona stanowiąca 2/3 oceny z egzaminu i 1/3 oceny z ćwiczeń audytoryjnych. Ocena z ćwiczeń audytoryjnych obejmuje oceny z kolokwiów cząstkowych przeprowadzanych w trakcie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Górski A., Chemia ogólna, PWN, Warszawa, 1969
2. Górski A., Chemia, tom I, PWN, Warszawa, 1974
3. Bielański A., Podstawy chemii nieorganicznej, tom I - III, PWN, Warszawa, 1999
4. Jonem L., Atkins P., Chemia Ogólna,  cząsteczki, materia, reakcje, PWN,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2026-07-26T12:54:25+02:00</dcterms:created>
  <dcterms:modified xsi:type="dcterms:W3CDTF">2026-07-26T12:54:25+02:00</dcterms:modified>
</cp:coreProperties>
</file>

<file path=docProps/custom.xml><?xml version="1.0" encoding="utf-8"?>
<Properties xmlns="http://schemas.openxmlformats.org/officeDocument/2006/custom-properties" xmlns:vt="http://schemas.openxmlformats.org/officeDocument/2006/docPropsVTypes"/>
</file>