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Mechanizmy i kinetyka reakcji w fazie stałej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Mikołaj Szafran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Technologia Nieorganiczna i Ceramika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wykładu jest zapoznanie studentów z podstawami fizykochemicznymi reakcji zachodzących z udziałem reagentów występujących w fazie stałej.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Celem wykładu jest zapoznanie studentów z podstawami fizykochemicznymi reakcji zachodzących z udziałem reagentów występujących w fazie stałej. W trakcie wykładu omawiana jest zarówno specyfika reakcji zachodzących w stanie stałym jak podobieństwa z reakcjami zachodzącymi w stanie gazowym i ciekłym. Omawiane są szczegółowo następujące zagadnienia: defekty struktury krystalicznej, półprzewodniki tlenkowe, zagadnienia dyfuzji w ciele stałym, mechanizmy reakcji i metody badań kinetyki reakcji w fazie stałej. Omawiany jest także szczegółowo problem energii aktywacji reakcji w fazie stałej oraz elementy termodynamiki reakcji w fazie stałej.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R. Pampuch, K. Hajerko, M. Kordek, Nauka o procesach ceramicznych, PWN, Warszawa, 1992.
2.	J. Dereń, J. Haber, R. Pampuch, Chemia ciała stałego, PWN, Warszawa, 1975.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najważniejsze grupy defektów w ciele stałym (defekty liniowe, punktowe, powierzchniowe, itp.) i ich wpływ na właściwości ciał stałych (półprzewodniki tlenkowe typu n, typu p)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K_W03, 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T1A_W03, T1A_W01, T1A_W03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podstawowe metody badań kinetyki reakcji chemicznych z udziałem proszków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K_W03, K_W06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T1A_W03, T1A_W04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posiada ogólną wiedzę dotyczącą termodynamiki reakcji w fazie stałej.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K_W03, K_W06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T1A_W03, T1A_W04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posiada umiejętność korzystania ze źródeł literaturowych oraz zasobów internetowych dotyczących rozwiązywanego zadania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T1A_U04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posiada umiejętność przewidywania kierunku reakcji chemicznych zachodzących z udziałem faz stałych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K_U12 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dobrać odpowiedni model dla reakcji zachodzących w mieszaninach proszków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pracować samodzielnie studiując wybrane zagadnienie oraz wybierając najważniejsze elementy w celu publicznego ich zaprezentowania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K_K02, K_K06, K_K08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T1A_K01, T1A_K04, T1A_K05, T1A_K06, T1A_K07</w:t>
      </w:r>
    </w:p>
    <w:p>
      <w:pPr>
        <w:keepNext w:val="1"/>
        <w:spacing w:after="10"/>
      </w:pPr>
      <w:r>
        <w:rPr>
          <w:b/>
          <w:bCs/>
        </w:rPr>
        <w:t xml:space="preserve">Efekt K02: </w:t>
      </w:r>
    </w:p>
    <w:p>
      <w:pPr/>
      <w:r>
        <w:rPr/>
        <w:t xml:space="preserve">potrafi pracować w zespole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2025-06-18T03:56:04+02:00</dcterms:created>
  <dcterms:modified xsi:type="dcterms:W3CDTF">2025-06-18T03:56:04+02:00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