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heterogeniczna w syntezie fine chemicals </w:t>
      </w:r>
    </w:p>
    <w:p>
      <w:pPr>
        <w:keepNext w:val="1"/>
        <w:spacing w:after="10"/>
      </w:pPr>
      <w:r>
        <w:rPr>
          <w:b/>
          <w:bCs/>
        </w:rPr>
        <w:t xml:space="preserve">Koordynator przedmiotu: </w:t>
      </w:r>
    </w:p>
    <w:p>
      <w:pPr>
        <w:spacing w:before="20" w:after="190"/>
      </w:pPr>
      <w:r>
        <w:rPr/>
        <w:t xml:space="preserve">dr hab. inż. Marek Gliński  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w:t>
      </w:r>
    </w:p>
    <w:p>
      <w:pPr>
        <w:keepNext w:val="1"/>
        <w:spacing w:after="10"/>
      </w:pPr>
      <w:r>
        <w:rPr>
          <w:b/>
          <w:bCs/>
        </w:rPr>
        <w:t xml:space="preserve">Treści kształcenia: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
Przedmiot obejmuje następujące treści merytoryczne:
-	selektywne uwodornienie na metalach;
-	chemo-, regio-, diastereoselektywne przeniesienie wodoru;
-	synteza aldehydów i ketonów z kwasów karboksylowych;
-	syntezy z udziałem tlenku węgla i wodoru;
-	procesy amoksydacji związków organicznych.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Nishimura, Handbook of catalytic hydrogenation for organic synthesis, Wiley&amp;Sons, New York 2001.
2.	R.A. Sheldon, Chemicals from synthesis gas, Reidel Publ. Co, 1987.
3.	R.A.W. Johnstone, A.H. Wilby, I.D. Entwistle, Chem. Rev., 85 (1985) 129.
4.	C.F. de Graauw, J.A. Peters, H. van Bekkum, J. Huskens, Synthesis, (1994) 1007.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2026-10-01T21:02:57+02:00</dcterms:created>
  <dcterms:modified xsi:type="dcterms:W3CDTF">2026-10-01T21:02:57+02:00</dcterms:modified>
</cp:coreProperties>
</file>

<file path=docProps/custom.xml><?xml version="1.0" encoding="utf-8"?>
<Properties xmlns="http://schemas.openxmlformats.org/officeDocument/2006/custom-properties" xmlns:vt="http://schemas.openxmlformats.org/officeDocument/2006/docPropsVTypes"/>
</file>